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B360F0" w:rsidRPr="002F3AC6" w:rsidTr="00F559A5">
        <w:trPr>
          <w:trHeight w:val="98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60F0" w:rsidRPr="002F3AC6" w:rsidRDefault="00B360F0" w:rsidP="00F559A5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EAD1AC7" wp14:editId="61E92E2B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60F0" w:rsidRPr="002F3AC6" w:rsidRDefault="00B360F0" w:rsidP="00F559A5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Commonwealth</w:t>
            </w:r>
          </w:p>
          <w:p w:rsidR="00B360F0" w:rsidRPr="002F3AC6" w:rsidRDefault="00B360F0" w:rsidP="00F559A5">
            <w:pPr>
              <w:widowControl w:val="0"/>
              <w:tabs>
                <w:tab w:val="left" w:pos="851"/>
              </w:tabs>
              <w:spacing w:before="120" w:line="360" w:lineRule="exact"/>
              <w:rPr>
                <w:rFonts w:ascii="Arial Narrow" w:eastAsia="Times New Roman" w:hAnsi="Arial Narrow" w:cs="Times New Roman"/>
                <w:sz w:val="36"/>
                <w:szCs w:val="20"/>
                <w:lang w:val="en-US"/>
              </w:rPr>
            </w:pPr>
            <w:r w:rsidRPr="002F3AC6">
              <w:rPr>
                <w:rFonts w:ascii="Arial Narrow" w:eastAsia="Times New Roman" w:hAnsi="Arial Narrow" w:cs="Times New Roman"/>
                <w:b/>
                <w:bCs/>
                <w:sz w:val="36"/>
                <w:szCs w:val="20"/>
                <w:lang w:val="en-US"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0F0" w:rsidRPr="002F3AC6" w:rsidRDefault="00B360F0" w:rsidP="00F559A5">
            <w:pPr>
              <w:keepNext/>
              <w:widowControl w:val="0"/>
              <w:tabs>
                <w:tab w:val="left" w:pos="851"/>
              </w:tabs>
              <w:spacing w:before="120"/>
              <w:jc w:val="center"/>
              <w:outlineLvl w:val="5"/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</w:pPr>
            <w:r w:rsidRPr="002F3AC6">
              <w:rPr>
                <w:rFonts w:ascii="Arial Black" w:eastAsia="Times New Roman" w:hAnsi="Arial Black" w:cs="Times New Roman"/>
                <w:sz w:val="56"/>
                <w:szCs w:val="20"/>
                <w:lang w:val="en-US"/>
              </w:rPr>
              <w:t xml:space="preserve">        Gazette</w:t>
            </w:r>
          </w:p>
        </w:tc>
      </w:tr>
      <w:tr w:rsidR="00B360F0" w:rsidRPr="002F3AC6" w:rsidTr="00F559A5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60F0" w:rsidRPr="00E52EEC" w:rsidRDefault="00B360F0" w:rsidP="00F559A5">
            <w:pPr>
              <w:widowControl w:val="0"/>
              <w:tabs>
                <w:tab w:val="left" w:pos="851"/>
              </w:tabs>
              <w:spacing w:before="40"/>
              <w:rPr>
                <w:rFonts w:eastAsia="Times New Roman" w:cs="Times New Roman"/>
                <w:sz w:val="20"/>
                <w:szCs w:val="20"/>
              </w:rPr>
            </w:pPr>
            <w:r w:rsidRPr="002F3AC6">
              <w:rPr>
                <w:rFonts w:eastAsia="Times New Roman" w:cs="Times New Roman"/>
                <w:sz w:val="20"/>
                <w:szCs w:val="20"/>
              </w:rPr>
              <w:t xml:space="preserve">No. FSC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132 Wednesday </w:t>
            </w:r>
            <w:r w:rsidRPr="00E52EEC">
              <w:rPr>
                <w:rFonts w:eastAsia="Times New Roman" w:cs="Times New Roman"/>
                <w:sz w:val="20"/>
                <w:szCs w:val="20"/>
              </w:rPr>
              <w:t>26 February 2020</w:t>
            </w:r>
          </w:p>
          <w:p w:rsidR="00B360F0" w:rsidRPr="002F3AC6" w:rsidRDefault="00B360F0" w:rsidP="00F559A5">
            <w:pPr>
              <w:widowControl w:val="0"/>
              <w:tabs>
                <w:tab w:val="left" w:pos="851"/>
              </w:tabs>
              <w:rPr>
                <w:rFonts w:eastAsia="Times New Roman" w:cs="Times New Roman"/>
                <w:sz w:val="18"/>
                <w:szCs w:val="20"/>
              </w:rPr>
            </w:pPr>
            <w:r w:rsidRPr="002F3AC6">
              <w:rPr>
                <w:rFonts w:eastAsia="Times New Roman" w:cs="Times New Roman"/>
                <w:sz w:val="18"/>
                <w:szCs w:val="20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B360F0" w:rsidRPr="002F3AC6" w:rsidRDefault="00B360F0" w:rsidP="00F559A5">
            <w:pPr>
              <w:widowControl w:val="0"/>
              <w:tabs>
                <w:tab w:val="left" w:pos="851"/>
              </w:tabs>
              <w:jc w:val="center"/>
              <w:outlineLvl w:val="3"/>
              <w:rPr>
                <w:rFonts w:ascii="Helvetica" w:eastAsia="Times New Roman" w:hAnsi="Helvetica" w:cs="Times New Roman"/>
                <w:b/>
                <w:sz w:val="32"/>
                <w:szCs w:val="20"/>
              </w:rPr>
            </w:pPr>
            <w:r w:rsidRPr="002F3AC6">
              <w:rPr>
                <w:rFonts w:ascii="Helvetica" w:eastAsia="Times New Roman" w:hAnsi="Helvetica" w:cs="Times New Roman"/>
                <w:b/>
                <w:sz w:val="32"/>
                <w:szCs w:val="20"/>
              </w:rPr>
              <w:t>Food Standards</w:t>
            </w:r>
          </w:p>
        </w:tc>
      </w:tr>
    </w:tbl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52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52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52"/>
          <w:szCs w:val="20"/>
        </w:rPr>
      </w:pPr>
    </w:p>
    <w:p w:rsidR="00B360F0" w:rsidRPr="002F3AC6" w:rsidRDefault="00B360F0" w:rsidP="00B360F0">
      <w:pPr>
        <w:widowControl w:val="0"/>
        <w:tabs>
          <w:tab w:val="left" w:pos="1134"/>
        </w:tabs>
        <w:rPr>
          <w:rFonts w:eastAsia="Times New Roman" w:cs="Times New Roman"/>
          <w:sz w:val="52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 xml:space="preserve">Amendment No. </w:t>
      </w:r>
      <w:r>
        <w:rPr>
          <w:rFonts w:eastAsia="Times New Roman" w:cs="Times New Roman"/>
          <w:b/>
          <w:bCs/>
          <w:sz w:val="32"/>
          <w:szCs w:val="32"/>
        </w:rPr>
        <w:t>191</w:t>
      </w:r>
    </w:p>
    <w:p w:rsidR="00B360F0" w:rsidRPr="002F3AC6" w:rsidRDefault="00B360F0" w:rsidP="00B360F0">
      <w:pPr>
        <w:widowControl w:val="0"/>
        <w:tabs>
          <w:tab w:val="left" w:pos="851"/>
        </w:tabs>
        <w:jc w:val="center"/>
        <w:rPr>
          <w:rFonts w:eastAsia="Times New Roman" w:cs="Times New Roman"/>
          <w:sz w:val="20"/>
          <w:szCs w:val="20"/>
        </w:rPr>
      </w:pPr>
      <w:r w:rsidRPr="002F3AC6">
        <w:rPr>
          <w:rFonts w:eastAsia="Times New Roman" w:cs="Times New Roman"/>
          <w:sz w:val="20"/>
          <w:szCs w:val="20"/>
        </w:rPr>
        <w:t>The following instruments are separate instruments in the Federal Register of Legislation and are known collectively in the Food Stan</w:t>
      </w:r>
      <w:r>
        <w:rPr>
          <w:rFonts w:eastAsia="Times New Roman" w:cs="Times New Roman"/>
          <w:sz w:val="20"/>
          <w:szCs w:val="20"/>
        </w:rPr>
        <w:t>dards Gazette as Amendment No.191</w:t>
      </w:r>
      <w:r w:rsidRPr="002F3AC6">
        <w:rPr>
          <w:rFonts w:eastAsia="Times New Roman" w:cs="Times New Roman"/>
          <w:sz w:val="20"/>
          <w:szCs w:val="20"/>
        </w:rPr>
        <w:t>.</w:t>
      </w:r>
    </w:p>
    <w:p w:rsidR="00B360F0" w:rsidRPr="002F3AC6" w:rsidRDefault="00B360F0" w:rsidP="00B360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B360F0" w:rsidRDefault="00B360F0" w:rsidP="00B360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  <w:r w:rsidRPr="002F3AC6">
        <w:rPr>
          <w:rFonts w:eastAsia="Times New Roman" w:cs="Times New Roman"/>
          <w:b/>
          <w:bCs/>
          <w:sz w:val="32"/>
          <w:szCs w:val="32"/>
        </w:rPr>
        <w:t>Table of contents</w:t>
      </w:r>
    </w:p>
    <w:p w:rsidR="00B360F0" w:rsidRDefault="00B360F0" w:rsidP="00B360F0">
      <w:pPr>
        <w:widowControl w:val="0"/>
        <w:tabs>
          <w:tab w:val="left" w:pos="851"/>
        </w:tabs>
        <w:jc w:val="center"/>
        <w:rPr>
          <w:rFonts w:eastAsia="Times New Roman" w:cs="Times New Roman"/>
          <w:b/>
          <w:bCs/>
          <w:sz w:val="32"/>
          <w:szCs w:val="32"/>
        </w:rPr>
      </w:pPr>
    </w:p>
    <w:p w:rsidR="00B360F0" w:rsidRPr="00363D93" w:rsidRDefault="00B360F0" w:rsidP="00B360F0">
      <w:pPr>
        <w:pStyle w:val="ListParagraph"/>
        <w:widowControl w:val="0"/>
        <w:numPr>
          <w:ilvl w:val="0"/>
          <w:numId w:val="14"/>
        </w:numPr>
        <w:tabs>
          <w:tab w:val="left" w:pos="851"/>
        </w:tabs>
        <w:rPr>
          <w:rFonts w:eastAsia="Times New Roman" w:cs="Times New Roman"/>
          <w:sz w:val="20"/>
          <w:szCs w:val="20"/>
        </w:rPr>
      </w:pPr>
      <w:r w:rsidRPr="00363D93">
        <w:rPr>
          <w:rFonts w:eastAsia="Times New Roman" w:cs="Times New Roman"/>
          <w:b/>
          <w:szCs w:val="24"/>
          <w:lang w:bidi="en-US"/>
        </w:rPr>
        <w:t>Food Standards (Application A1171 – Endo-inulinase from GM Asperg</w:t>
      </w:r>
      <w:r>
        <w:rPr>
          <w:rFonts w:eastAsia="Times New Roman" w:cs="Times New Roman"/>
          <w:b/>
          <w:szCs w:val="24"/>
          <w:lang w:bidi="en-US"/>
        </w:rPr>
        <w:t>illus oryzae as a PA (Enzyme)</w:t>
      </w:r>
      <w:r w:rsidRPr="00363D93">
        <w:rPr>
          <w:rFonts w:eastAsia="Times New Roman" w:cs="Times New Roman"/>
          <w:b/>
          <w:szCs w:val="24"/>
          <w:lang w:bidi="en-US"/>
        </w:rPr>
        <w:t>) Variation.</w:t>
      </w:r>
    </w:p>
    <w:p w:rsidR="00B360F0" w:rsidRDefault="00B360F0" w:rsidP="00B360F0">
      <w:pPr>
        <w:pStyle w:val="ListParagraph"/>
        <w:widowControl w:val="0"/>
        <w:numPr>
          <w:ilvl w:val="0"/>
          <w:numId w:val="14"/>
        </w:numPr>
        <w:tabs>
          <w:tab w:val="left" w:pos="851"/>
        </w:tabs>
        <w:rPr>
          <w:rFonts w:eastAsia="Times New Roman" w:cs="Times New Roman"/>
          <w:b/>
          <w:szCs w:val="24"/>
          <w:lang w:bidi="en-US"/>
        </w:rPr>
      </w:pPr>
      <w:r w:rsidRPr="001C43A1">
        <w:rPr>
          <w:rFonts w:eastAsia="Times New Roman" w:cs="Times New Roman"/>
          <w:b/>
          <w:szCs w:val="24"/>
          <w:lang w:bidi="en-US"/>
        </w:rPr>
        <w:t>Food Standards (</w:t>
      </w:r>
      <w:r>
        <w:rPr>
          <w:rFonts w:eastAsia="Times New Roman" w:cs="Times New Roman"/>
          <w:b/>
          <w:szCs w:val="24"/>
          <w:lang w:bidi="en-US"/>
        </w:rPr>
        <w:t xml:space="preserve">Application A1176 </w:t>
      </w:r>
      <w:r w:rsidRPr="001C43A1">
        <w:rPr>
          <w:rFonts w:eastAsia="Times New Roman" w:cs="Times New Roman"/>
          <w:b/>
          <w:szCs w:val="24"/>
          <w:lang w:bidi="en-US"/>
        </w:rPr>
        <w:t>–</w:t>
      </w:r>
      <w:r>
        <w:rPr>
          <w:rFonts w:eastAsia="Times New Roman" w:cs="Times New Roman"/>
          <w:b/>
          <w:szCs w:val="24"/>
          <w:lang w:bidi="en-US"/>
        </w:rPr>
        <w:t xml:space="preserve"> </w:t>
      </w:r>
      <w:r w:rsidRPr="004E0718">
        <w:rPr>
          <w:rFonts w:eastAsia="Times New Roman" w:cs="Times New Roman"/>
          <w:b/>
          <w:szCs w:val="24"/>
          <w:lang w:bidi="en-US"/>
        </w:rPr>
        <w:t>Enzymatic production of Steviol Glycosides</w:t>
      </w:r>
      <w:r>
        <w:rPr>
          <w:rFonts w:eastAsia="Times New Roman" w:cs="Times New Roman"/>
          <w:b/>
          <w:szCs w:val="24"/>
          <w:lang w:bidi="en-US"/>
        </w:rPr>
        <w:t xml:space="preserve">) </w:t>
      </w:r>
      <w:r w:rsidRPr="001C43A1">
        <w:rPr>
          <w:rFonts w:eastAsia="Times New Roman" w:cs="Times New Roman"/>
          <w:b/>
          <w:szCs w:val="24"/>
          <w:lang w:bidi="en-US"/>
        </w:rPr>
        <w:t>Variation</w:t>
      </w:r>
    </w:p>
    <w:p w:rsidR="00B360F0" w:rsidRDefault="00B360F0" w:rsidP="00B360F0">
      <w:pPr>
        <w:pStyle w:val="ListParagraph"/>
        <w:widowControl w:val="0"/>
        <w:numPr>
          <w:ilvl w:val="0"/>
          <w:numId w:val="14"/>
        </w:numPr>
        <w:tabs>
          <w:tab w:val="left" w:pos="851"/>
        </w:tabs>
        <w:rPr>
          <w:rFonts w:eastAsia="Times New Roman" w:cs="Times New Roman"/>
          <w:b/>
          <w:szCs w:val="24"/>
          <w:lang w:bidi="en-US"/>
        </w:rPr>
      </w:pPr>
      <w:r w:rsidRPr="001C43A1">
        <w:rPr>
          <w:rFonts w:eastAsia="Times New Roman" w:cs="Times New Roman"/>
          <w:b/>
          <w:szCs w:val="24"/>
          <w:lang w:bidi="en-US"/>
        </w:rPr>
        <w:t>Food Standards (</w:t>
      </w:r>
      <w:r>
        <w:rPr>
          <w:rFonts w:eastAsia="Times New Roman" w:cs="Times New Roman"/>
          <w:b/>
          <w:szCs w:val="24"/>
          <w:lang w:bidi="en-US"/>
        </w:rPr>
        <w:t xml:space="preserve">Application A1181 </w:t>
      </w:r>
      <w:r w:rsidRPr="001C43A1">
        <w:rPr>
          <w:rFonts w:eastAsia="Times New Roman" w:cs="Times New Roman"/>
          <w:b/>
          <w:szCs w:val="24"/>
          <w:lang w:bidi="en-US"/>
        </w:rPr>
        <w:t>–</w:t>
      </w:r>
      <w:r>
        <w:rPr>
          <w:rFonts w:eastAsia="Times New Roman" w:cs="Times New Roman"/>
          <w:b/>
          <w:szCs w:val="24"/>
          <w:lang w:bidi="en-US"/>
        </w:rPr>
        <w:t xml:space="preserve"> </w:t>
      </w:r>
      <w:r w:rsidRPr="004E0718">
        <w:rPr>
          <w:rFonts w:eastAsia="Times New Roman" w:cs="Times New Roman"/>
          <w:b/>
          <w:szCs w:val="24"/>
          <w:lang w:bidi="en-US"/>
        </w:rPr>
        <w:t>Maximum residue limits for Imazapyr in Barley Grain</w:t>
      </w:r>
      <w:r>
        <w:rPr>
          <w:rFonts w:eastAsia="Times New Roman" w:cs="Times New Roman"/>
          <w:b/>
          <w:szCs w:val="24"/>
          <w:lang w:bidi="en-US"/>
        </w:rPr>
        <w:t xml:space="preserve">) </w:t>
      </w:r>
      <w:r w:rsidRPr="001C43A1">
        <w:rPr>
          <w:rFonts w:eastAsia="Times New Roman" w:cs="Times New Roman"/>
          <w:b/>
          <w:szCs w:val="24"/>
          <w:lang w:bidi="en-US"/>
        </w:rPr>
        <w:t>Variation</w:t>
      </w: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20"/>
          <w:szCs w:val="20"/>
        </w:rPr>
      </w:pPr>
    </w:p>
    <w:p w:rsidR="00B360F0" w:rsidRPr="002F3AC6" w:rsidRDefault="00B360F0" w:rsidP="00B360F0">
      <w:pPr>
        <w:widowControl w:val="0"/>
        <w:tabs>
          <w:tab w:val="left" w:pos="851"/>
        </w:tabs>
        <w:rPr>
          <w:rFonts w:eastAsia="Times New Roman" w:cs="Times New Roman"/>
          <w:sz w:val="16"/>
          <w:szCs w:val="16"/>
        </w:rPr>
      </w:pPr>
    </w:p>
    <w:p w:rsidR="00B360F0" w:rsidRDefault="00B360F0" w:rsidP="00B360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>
        <w:rPr>
          <w:sz w:val="18"/>
        </w:rPr>
        <w:t>ISSN 1446-9685</w:t>
      </w:r>
    </w:p>
    <w:p w:rsidR="00B360F0" w:rsidRDefault="00B360F0" w:rsidP="00B360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Australia 2020</w:t>
      </w:r>
    </w:p>
    <w:p w:rsidR="00B360F0" w:rsidRDefault="00B360F0" w:rsidP="00B360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B360F0" w:rsidRDefault="00B360F0" w:rsidP="00B360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Information Officer, Food Standards Australia New </w:t>
      </w:r>
    </w:p>
    <w:p w:rsidR="00B360F0" w:rsidRDefault="00B360F0" w:rsidP="00B360F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>
        <w:rPr>
          <w:sz w:val="16"/>
        </w:rPr>
        <w:t xml:space="preserve">Zealand, </w:t>
      </w:r>
      <w:r>
        <w:rPr>
          <w:sz w:val="16"/>
          <w:szCs w:val="16"/>
        </w:rPr>
        <w:t>PO Box 5423, KINGSTON ACT 2604</w:t>
      </w:r>
      <w:r>
        <w:rPr>
          <w:sz w:val="16"/>
        </w:rPr>
        <w:t xml:space="preserve"> or by email </w:t>
      </w:r>
      <w:hyperlink r:id="rId10" w:history="1">
        <w:r>
          <w:rPr>
            <w:rStyle w:val="Hyperlink"/>
            <w:sz w:val="16"/>
          </w:rPr>
          <w:t>information@foodstandards.gov.au</w:t>
        </w:r>
      </w:hyperlink>
      <w:r>
        <w:rPr>
          <w:sz w:val="16"/>
        </w:rPr>
        <w:t>.</w:t>
      </w:r>
    </w:p>
    <w:p w:rsidR="00B360F0" w:rsidRDefault="00B360F0" w:rsidP="00B360F0">
      <w:pPr>
        <w:rPr>
          <w:noProof/>
          <w:sz w:val="20"/>
          <w:lang w:val="en-AU" w:eastAsia="en-AU"/>
        </w:rPr>
      </w:pPr>
    </w:p>
    <w:p w:rsidR="00B360F0" w:rsidRDefault="00B360F0" w:rsidP="00B360F0">
      <w:pPr>
        <w:rPr>
          <w:noProof/>
          <w:sz w:val="20"/>
          <w:lang w:val="en-AU" w:eastAsia="en-AU"/>
        </w:rPr>
      </w:pPr>
    </w:p>
    <w:p w:rsidR="00B360F0" w:rsidRDefault="00B360F0" w:rsidP="00B360F0">
      <w:pPr>
        <w:rPr>
          <w:noProof/>
          <w:sz w:val="20"/>
          <w:lang w:val="en-AU" w:eastAsia="en-AU"/>
        </w:rPr>
      </w:pPr>
      <w:bookmarkStart w:id="0" w:name="_GoBack"/>
      <w:bookmarkEnd w:id="0"/>
    </w:p>
    <w:p w:rsidR="00B360F0" w:rsidRDefault="00B360F0" w:rsidP="00B360F0">
      <w:pPr>
        <w:rPr>
          <w:noProof/>
          <w:sz w:val="20"/>
          <w:lang w:val="en-AU" w:eastAsia="en-AU"/>
        </w:rPr>
      </w:pPr>
    </w:p>
    <w:p w:rsidR="00B360F0" w:rsidRDefault="00B360F0" w:rsidP="00B360F0">
      <w:pPr>
        <w:rPr>
          <w:b/>
          <w:bCs/>
        </w:rPr>
      </w:pPr>
    </w:p>
    <w:p w:rsidR="00B360F0" w:rsidRDefault="00B360F0" w:rsidP="00B360F0">
      <w:r w:rsidRPr="00C0014E">
        <w:rPr>
          <w:noProof/>
          <w:sz w:val="20"/>
          <w:lang w:eastAsia="en-GB"/>
        </w:rPr>
        <w:lastRenderedPageBreak/>
        <w:drawing>
          <wp:inline distT="0" distB="0" distL="0" distR="0" wp14:anchorId="499CFFD0" wp14:editId="270EA063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F0" w:rsidRDefault="00B360F0" w:rsidP="00B360F0"/>
    <w:p w:rsidR="00B360F0" w:rsidRDefault="00B360F0" w:rsidP="00B360F0">
      <w:pPr>
        <w:pBdr>
          <w:bottom w:val="single" w:sz="4" w:space="1" w:color="auto"/>
        </w:pBdr>
        <w:rPr>
          <w:b/>
          <w:sz w:val="20"/>
          <w:szCs w:val="20"/>
        </w:rPr>
      </w:pPr>
      <w:bookmarkStart w:id="1" w:name="_Toc414880389"/>
      <w:bookmarkStart w:id="2" w:name="_Toc420055543"/>
      <w:bookmarkStart w:id="3" w:name="_Toc430770446"/>
      <w:r>
        <w:rPr>
          <w:b/>
          <w:sz w:val="20"/>
        </w:rPr>
        <w:t xml:space="preserve">Food Standards (Application A1171 – Endo-inulinase from </w:t>
      </w:r>
      <w:r>
        <w:rPr>
          <w:b/>
          <w:i/>
          <w:sz w:val="20"/>
        </w:rPr>
        <w:t>GM Aspergillus oryzae</w:t>
      </w:r>
      <w:r>
        <w:rPr>
          <w:b/>
          <w:sz w:val="20"/>
        </w:rPr>
        <w:t xml:space="preserve"> as a Processing Aid (Enzyme)) Variation</w:t>
      </w: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  <w:r>
        <w:rPr>
          <w:sz w:val="20"/>
        </w:rPr>
        <w:t xml:space="preserve">The Board of Food Standards Australia New Zealand gives notice of the making of this variation under section 92 of the </w:t>
      </w:r>
      <w:r>
        <w:rPr>
          <w:i/>
          <w:sz w:val="20"/>
        </w:rPr>
        <w:t>Food Standards Australia New Zealand Act 1991</w:t>
      </w:r>
      <w:r>
        <w:rPr>
          <w:sz w:val="20"/>
        </w:rPr>
        <w:t>.  The variation commences on the date specified in clause 3 of this variation.</w:t>
      </w:r>
    </w:p>
    <w:p w:rsidR="00B360F0" w:rsidRDefault="00B360F0" w:rsidP="00B360F0">
      <w:pPr>
        <w:rPr>
          <w:sz w:val="20"/>
        </w:rPr>
      </w:pPr>
    </w:p>
    <w:p w:rsidR="00B360F0" w:rsidRPr="00E060A5" w:rsidRDefault="00B360F0" w:rsidP="00B360F0">
      <w:pPr>
        <w:rPr>
          <w:sz w:val="20"/>
        </w:rPr>
      </w:pPr>
      <w:r w:rsidRPr="00E060A5">
        <w:rPr>
          <w:sz w:val="20"/>
        </w:rPr>
        <w:t>Dated 2</w:t>
      </w:r>
      <w:r>
        <w:rPr>
          <w:sz w:val="20"/>
        </w:rPr>
        <w:t>0</w:t>
      </w:r>
      <w:r w:rsidRPr="00E060A5">
        <w:rPr>
          <w:sz w:val="20"/>
        </w:rPr>
        <w:t xml:space="preserve"> February 2020</w:t>
      </w: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772BB6ED" wp14:editId="63158E71">
            <wp:extent cx="723955" cy="1422925"/>
            <wp:effectExtent l="0" t="6350" r="0" b="0"/>
            <wp:docPr id="2" name="Picture 2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471" cy="15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  <w:r>
        <w:rPr>
          <w:sz w:val="20"/>
        </w:rPr>
        <w:t>Standards Management Officer</w:t>
      </w:r>
    </w:p>
    <w:p w:rsidR="00B360F0" w:rsidRDefault="00B360F0" w:rsidP="00B360F0">
      <w:pPr>
        <w:rPr>
          <w:sz w:val="20"/>
        </w:rPr>
      </w:pPr>
      <w:r>
        <w:rPr>
          <w:sz w:val="20"/>
        </w:rPr>
        <w:t>Delegate of the Board of Food Standards Australia New Zealand</w:t>
      </w: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>
        <w:rPr>
          <w:b/>
          <w:sz w:val="20"/>
          <w:lang w:val="en-AU"/>
        </w:rPr>
        <w:t xml:space="preserve">Note:  </w:t>
      </w:r>
    </w:p>
    <w:p w:rsidR="00B360F0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:rsidR="00B360F0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>
        <w:rPr>
          <w:sz w:val="20"/>
          <w:lang w:val="en-AU"/>
        </w:rPr>
        <w:t xml:space="preserve">This variation will be published in the Commonwealth of Australia Gazette No. </w:t>
      </w:r>
      <w:r w:rsidRPr="00670EF0">
        <w:rPr>
          <w:sz w:val="20"/>
          <w:lang w:val="en-AU"/>
        </w:rPr>
        <w:t>FSC 132 on 26 February 2020. This means that this date is the gazettal date for the purposes of clause 3 of t</w:t>
      </w:r>
      <w:r>
        <w:rPr>
          <w:sz w:val="20"/>
          <w:lang w:val="en-AU"/>
        </w:rPr>
        <w:t xml:space="preserve">he variation. </w:t>
      </w:r>
    </w:p>
    <w:p w:rsidR="00B360F0" w:rsidRDefault="00B360F0" w:rsidP="00B360F0">
      <w:pPr>
        <w:rPr>
          <w:sz w:val="20"/>
        </w:rPr>
      </w:pPr>
    </w:p>
    <w:p w:rsidR="00B360F0" w:rsidRDefault="00B360F0" w:rsidP="00B360F0">
      <w:pPr>
        <w:tabs>
          <w:tab w:val="left" w:pos="720"/>
        </w:tabs>
        <w:rPr>
          <w:sz w:val="20"/>
        </w:rPr>
      </w:pPr>
      <w:r>
        <w:rPr>
          <w:sz w:val="20"/>
        </w:rPr>
        <w:br w:type="page"/>
      </w:r>
    </w:p>
    <w:bookmarkEnd w:id="1"/>
    <w:bookmarkEnd w:id="2"/>
    <w:bookmarkEnd w:id="3"/>
    <w:p w:rsidR="00B360F0" w:rsidRDefault="00B360F0" w:rsidP="00B360F0">
      <w:pPr>
        <w:pStyle w:val="FSCDraftingitemheading"/>
      </w:pPr>
      <w:r>
        <w:t>1</w:t>
      </w:r>
      <w:r>
        <w:tab/>
        <w:t>Name</w:t>
      </w:r>
    </w:p>
    <w:p w:rsidR="00B360F0" w:rsidRDefault="00B360F0" w:rsidP="00B360F0">
      <w:pPr>
        <w:pStyle w:val="FSCDraftingitem"/>
      </w:pPr>
      <w:r>
        <w:t xml:space="preserve">This instrument is the </w:t>
      </w:r>
      <w:r>
        <w:rPr>
          <w:i/>
        </w:rPr>
        <w:t xml:space="preserve">Food Standards (Application A1171 – Endo-inulinase from </w:t>
      </w:r>
      <w:r>
        <w:t>GM Aspergillus oryzae</w:t>
      </w:r>
      <w:r>
        <w:rPr>
          <w:i/>
        </w:rPr>
        <w:t xml:space="preserve"> as a Processing Aid (Enzyme)) Variation</w:t>
      </w:r>
      <w:r>
        <w:t>.</w:t>
      </w:r>
    </w:p>
    <w:p w:rsidR="00B360F0" w:rsidRDefault="00B360F0" w:rsidP="00B360F0">
      <w:pPr>
        <w:pStyle w:val="FSCDraftingitemheading"/>
      </w:pPr>
      <w:r>
        <w:t>2</w:t>
      </w:r>
      <w:r>
        <w:tab/>
        <w:t xml:space="preserve">Variation to a standard in the </w:t>
      </w:r>
      <w:r>
        <w:rPr>
          <w:i/>
        </w:rPr>
        <w:t>Australia New Zealand Food Standards Code</w:t>
      </w:r>
    </w:p>
    <w:p w:rsidR="00B360F0" w:rsidRDefault="00B360F0" w:rsidP="00B360F0">
      <w:pPr>
        <w:pStyle w:val="FSCDraftingitem"/>
      </w:pPr>
      <w:r>
        <w:t xml:space="preserve">The Schedule varies a Standard in the </w:t>
      </w:r>
      <w:r>
        <w:rPr>
          <w:i/>
        </w:rPr>
        <w:t>Australia New Zealand Food Standards Code</w:t>
      </w:r>
      <w:r>
        <w:t>.</w:t>
      </w:r>
    </w:p>
    <w:p w:rsidR="00B360F0" w:rsidRDefault="00B360F0" w:rsidP="00B360F0">
      <w:pPr>
        <w:pStyle w:val="FSCDraftingitemheading"/>
      </w:pPr>
      <w:r>
        <w:t>3</w:t>
      </w:r>
      <w:r>
        <w:tab/>
        <w:t>Commencement</w:t>
      </w:r>
    </w:p>
    <w:p w:rsidR="00B360F0" w:rsidRDefault="00B360F0" w:rsidP="00B360F0">
      <w:pPr>
        <w:pStyle w:val="FSCDraftingitem"/>
      </w:pPr>
      <w:r>
        <w:t>The variation commences on the date of gazettal.</w:t>
      </w:r>
    </w:p>
    <w:p w:rsidR="00B360F0" w:rsidRDefault="00B360F0" w:rsidP="00B360F0">
      <w:pPr>
        <w:jc w:val="center"/>
        <w:rPr>
          <w:b/>
          <w:sz w:val="20"/>
        </w:rPr>
      </w:pPr>
      <w:r>
        <w:rPr>
          <w:b/>
          <w:sz w:val="20"/>
        </w:rPr>
        <w:t>Schedule</w:t>
      </w:r>
    </w:p>
    <w:p w:rsidR="00B360F0" w:rsidRDefault="00B360F0" w:rsidP="00B360F0">
      <w:pPr>
        <w:pStyle w:val="FSCDraftingitem"/>
        <w:rPr>
          <w:lang w:eastAsia="en-AU"/>
        </w:rPr>
      </w:pPr>
      <w:r>
        <w:rPr>
          <w:b/>
          <w:lang w:bidi="en-US"/>
        </w:rPr>
        <w:t>[1]</w:t>
      </w:r>
      <w:r>
        <w:rPr>
          <w:b/>
          <w:lang w:bidi="en-US"/>
        </w:rPr>
        <w:tab/>
        <w:t>Schedule 18</w:t>
      </w:r>
      <w:r>
        <w:t xml:space="preserve"> is varied by inserting in the table to subsection S18—9(3), in alphabetical order</w:t>
      </w:r>
    </w:p>
    <w:p w:rsidR="00B360F0" w:rsidRDefault="00B360F0" w:rsidP="00B360F0">
      <w:pPr>
        <w:pStyle w:val="FSCDraftingitem"/>
        <w:rPr>
          <w:lang w:eastAsia="en-AU"/>
        </w:rPr>
      </w:pPr>
    </w:p>
    <w:tbl>
      <w:tblPr>
        <w:tblStyle w:val="PlainTable21"/>
        <w:tblW w:w="0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B360F0" w:rsidTr="00F55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none" w:sz="0" w:space="0" w:color="auto"/>
            </w:tcBorders>
            <w:hideMark/>
          </w:tcPr>
          <w:p w:rsidR="00B360F0" w:rsidRPr="00D51DF4" w:rsidRDefault="00B360F0" w:rsidP="00F559A5">
            <w:pPr>
              <w:pStyle w:val="FSCtblMain"/>
              <w:rPr>
                <w:rFonts w:ascii="Arial" w:hAnsi="Arial"/>
                <w:i/>
                <w:szCs w:val="18"/>
              </w:rPr>
            </w:pPr>
            <w:r w:rsidRPr="00D51DF4">
              <w:rPr>
                <w:rFonts w:ascii="Arial" w:hAnsi="Arial"/>
                <w:b w:val="0"/>
                <w:szCs w:val="18"/>
              </w:rPr>
              <w:t xml:space="preserve">Inulinase (EC 3.2.1.7) sourced from </w:t>
            </w:r>
            <w:r w:rsidRPr="00D51DF4">
              <w:rPr>
                <w:rFonts w:ascii="Arial" w:hAnsi="Arial"/>
                <w:b w:val="0"/>
                <w:i/>
                <w:szCs w:val="18"/>
              </w:rPr>
              <w:t>Aspergillus oryzae</w:t>
            </w:r>
            <w:r w:rsidRPr="00D51DF4">
              <w:rPr>
                <w:rFonts w:ascii="Arial" w:hAnsi="Arial"/>
                <w:b w:val="0"/>
                <w:szCs w:val="18"/>
              </w:rPr>
              <w:t xml:space="preserve"> containing the inulinase gene from </w:t>
            </w:r>
            <w:r w:rsidRPr="00D51DF4">
              <w:rPr>
                <w:rFonts w:ascii="Arial" w:hAnsi="Arial"/>
                <w:b w:val="0"/>
                <w:i/>
                <w:szCs w:val="18"/>
              </w:rPr>
              <w:t>Aspergillus ficuum</w:t>
            </w:r>
          </w:p>
        </w:tc>
        <w:tc>
          <w:tcPr>
            <w:tcW w:w="3603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pStyle w:val="FSCtblMai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</w:rPr>
            </w:pPr>
            <w:r w:rsidRPr="00D51DF4">
              <w:rPr>
                <w:rFonts w:ascii="Arial" w:hAnsi="Arial"/>
                <w:b w:val="0"/>
                <w:szCs w:val="18"/>
              </w:rPr>
              <w:t>Hydrolysing inulin to produce fructo</w:t>
            </w:r>
            <w:r w:rsidRPr="00D51DF4">
              <w:rPr>
                <w:rFonts w:ascii="Arial" w:hAnsi="Arial"/>
                <w:b w:val="0"/>
                <w:szCs w:val="18"/>
              </w:rPr>
              <w:noBreakHyphen/>
              <w:t>oligosaccharides</w:t>
            </w:r>
          </w:p>
          <w:p w:rsidR="00B360F0" w:rsidRDefault="00B360F0" w:rsidP="00F559A5">
            <w:pPr>
              <w:pStyle w:val="FSCtblMai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349" w:type="dxa"/>
            <w:tcBorders>
              <w:bottom w:val="none" w:sz="0" w:space="0" w:color="auto"/>
            </w:tcBorders>
            <w:hideMark/>
          </w:tcPr>
          <w:p w:rsidR="00B360F0" w:rsidRPr="00D51DF4" w:rsidRDefault="00B360F0" w:rsidP="00F559A5">
            <w:pPr>
              <w:pStyle w:val="FSCtblMai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 w:val="0"/>
              </w:rPr>
            </w:pPr>
            <w:r w:rsidRPr="00D51DF4">
              <w:rPr>
                <w:rFonts w:ascii="Arial" w:hAnsi="Arial"/>
                <w:b w:val="0"/>
              </w:rPr>
              <w:t>GMP</w:t>
            </w:r>
          </w:p>
        </w:tc>
      </w:tr>
    </w:tbl>
    <w:p w:rsidR="00B360F0" w:rsidRDefault="00B360F0" w:rsidP="00B360F0"/>
    <w:p w:rsidR="00B360F0" w:rsidRDefault="00B360F0" w:rsidP="00B360F0">
      <w:pPr>
        <w:rPr>
          <w:b/>
          <w:bCs/>
        </w:rPr>
      </w:pPr>
      <w:r>
        <w:rPr>
          <w:b/>
          <w:bCs/>
        </w:rPr>
        <w:br w:type="page"/>
      </w:r>
    </w:p>
    <w:p w:rsidR="00B360F0" w:rsidRPr="000A5BF2" w:rsidRDefault="00B360F0" w:rsidP="00B360F0">
      <w:pPr>
        <w:tabs>
          <w:tab w:val="left" w:pos="851"/>
        </w:tabs>
        <w:rPr>
          <w:noProof/>
          <w:sz w:val="20"/>
          <w:szCs w:val="20"/>
          <w:lang w:val="en-AU" w:eastAsia="en-AU"/>
        </w:rPr>
      </w:pPr>
      <w:r w:rsidRPr="000A5BF2">
        <w:rPr>
          <w:noProof/>
          <w:sz w:val="20"/>
          <w:szCs w:val="20"/>
          <w:lang w:eastAsia="en-GB"/>
        </w:rPr>
        <w:drawing>
          <wp:inline distT="0" distB="0" distL="0" distR="0" wp14:anchorId="4D067811" wp14:editId="0C38F70D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F0" w:rsidRPr="000A5BF2" w:rsidRDefault="00B360F0" w:rsidP="00B360F0">
      <w:pPr>
        <w:pBdr>
          <w:bottom w:val="single" w:sz="4" w:space="1" w:color="auto"/>
        </w:pBdr>
        <w:tabs>
          <w:tab w:val="left" w:pos="851"/>
        </w:tabs>
        <w:rPr>
          <w:b/>
          <w:bCs/>
          <w:szCs w:val="20"/>
        </w:rPr>
      </w:pPr>
    </w:p>
    <w:p w:rsidR="00B360F0" w:rsidRPr="000A5BF2" w:rsidRDefault="00B360F0" w:rsidP="00B360F0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  <w:r w:rsidRPr="000A5BF2">
        <w:rPr>
          <w:b/>
          <w:sz w:val="20"/>
          <w:szCs w:val="20"/>
        </w:rPr>
        <w:t>Food Standards (Application A1176 – Enzymatic production of Steviol Glycosides) Variation</w:t>
      </w:r>
    </w:p>
    <w:p w:rsidR="00B360F0" w:rsidRPr="000A5BF2" w:rsidRDefault="00B360F0" w:rsidP="00B360F0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  <w:r w:rsidRPr="000A5BF2">
        <w:rPr>
          <w:sz w:val="20"/>
          <w:szCs w:val="20"/>
        </w:rPr>
        <w:t xml:space="preserve">The Board of Food Standards Australia New Zealand gives notice of the making of this variation under section 92 of the </w:t>
      </w:r>
      <w:r w:rsidRPr="000A5BF2">
        <w:rPr>
          <w:i/>
          <w:sz w:val="20"/>
          <w:szCs w:val="20"/>
        </w:rPr>
        <w:t>Food Standards Australia New Zealand Act 1991</w:t>
      </w:r>
      <w:r w:rsidRPr="000A5BF2">
        <w:rPr>
          <w:sz w:val="20"/>
          <w:szCs w:val="20"/>
        </w:rPr>
        <w:t>.  The variation commences on the date specified in clause 3 of this variation.</w:t>
      </w: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Dated 20 February 2020</w:t>
      </w: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Default="00B360F0" w:rsidP="00B360F0">
      <w:pPr>
        <w:tabs>
          <w:tab w:val="left" w:pos="851"/>
        </w:tabs>
        <w:rPr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006A5D28" wp14:editId="0B847A30">
            <wp:extent cx="723955" cy="1422925"/>
            <wp:effectExtent l="0" t="6350" r="0" b="0"/>
            <wp:docPr id="3" name="Picture 3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471" cy="15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  <w:r>
        <w:rPr>
          <w:sz w:val="20"/>
          <w:szCs w:val="20"/>
        </w:rPr>
        <w:t>Standards Management Officer</w:t>
      </w: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  <w:r w:rsidRPr="000A5BF2">
        <w:rPr>
          <w:sz w:val="20"/>
          <w:szCs w:val="20"/>
        </w:rPr>
        <w:t>Delegate of the Board of Food Standards Australia New Zealand</w:t>
      </w: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b/>
          <w:sz w:val="20"/>
          <w:szCs w:val="20"/>
          <w:lang w:val="en-AU"/>
        </w:rPr>
      </w:pPr>
      <w:r w:rsidRPr="000A5BF2">
        <w:rPr>
          <w:b/>
          <w:sz w:val="20"/>
          <w:szCs w:val="20"/>
          <w:lang w:val="en-AU"/>
        </w:rPr>
        <w:t xml:space="preserve">Note:  </w:t>
      </w:r>
    </w:p>
    <w:p w:rsidR="00B360F0" w:rsidRPr="0065140F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</w:p>
    <w:p w:rsidR="00B360F0" w:rsidRPr="000A5BF2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sz w:val="20"/>
          <w:szCs w:val="20"/>
          <w:lang w:val="en-AU"/>
        </w:rPr>
      </w:pPr>
      <w:r w:rsidRPr="0065140F">
        <w:rPr>
          <w:sz w:val="20"/>
          <w:szCs w:val="20"/>
          <w:lang w:val="en-AU"/>
        </w:rPr>
        <w:t xml:space="preserve">This variation will be published in the Commonwealth of Australia Gazette No. FSC 132 on 26 February 2020. This means that this date is the gazettal date for the purposes </w:t>
      </w:r>
      <w:r w:rsidRPr="000A5BF2">
        <w:rPr>
          <w:sz w:val="20"/>
          <w:szCs w:val="20"/>
          <w:lang w:val="en-AU"/>
        </w:rPr>
        <w:t xml:space="preserve">of clause 3 of the variation. </w:t>
      </w:r>
    </w:p>
    <w:p w:rsidR="00B360F0" w:rsidRPr="000A5BF2" w:rsidRDefault="00B360F0" w:rsidP="00B360F0">
      <w:pPr>
        <w:tabs>
          <w:tab w:val="left" w:pos="851"/>
        </w:tabs>
        <w:rPr>
          <w:sz w:val="20"/>
          <w:szCs w:val="20"/>
        </w:rPr>
      </w:pPr>
    </w:p>
    <w:p w:rsidR="00B360F0" w:rsidRPr="000A5BF2" w:rsidRDefault="00B360F0" w:rsidP="00B360F0">
      <w:pPr>
        <w:rPr>
          <w:sz w:val="20"/>
          <w:szCs w:val="20"/>
        </w:rPr>
      </w:pPr>
      <w:r w:rsidRPr="000A5BF2">
        <w:rPr>
          <w:sz w:val="20"/>
          <w:szCs w:val="20"/>
        </w:rPr>
        <w:br w:type="page"/>
      </w:r>
    </w:p>
    <w:p w:rsidR="00B360F0" w:rsidRPr="000A5BF2" w:rsidRDefault="00B360F0" w:rsidP="00B360F0">
      <w:pPr>
        <w:tabs>
          <w:tab w:val="left" w:pos="851"/>
        </w:tabs>
        <w:spacing w:before="120" w:after="120"/>
        <w:ind w:left="851" w:hanging="851"/>
        <w:rPr>
          <w:b/>
          <w:sz w:val="20"/>
          <w:szCs w:val="20"/>
        </w:rPr>
      </w:pPr>
      <w:r w:rsidRPr="000A5BF2">
        <w:rPr>
          <w:b/>
          <w:sz w:val="20"/>
          <w:szCs w:val="20"/>
        </w:rPr>
        <w:t>1</w:t>
      </w:r>
      <w:r w:rsidRPr="000A5BF2">
        <w:rPr>
          <w:b/>
          <w:sz w:val="20"/>
          <w:szCs w:val="20"/>
        </w:rPr>
        <w:tab/>
        <w:t>Name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i/>
          <w:sz w:val="20"/>
          <w:szCs w:val="20"/>
        </w:rPr>
      </w:pPr>
      <w:r w:rsidRPr="000A5BF2">
        <w:rPr>
          <w:sz w:val="20"/>
          <w:szCs w:val="20"/>
        </w:rPr>
        <w:t xml:space="preserve">This instrument is the </w:t>
      </w:r>
      <w:r w:rsidRPr="000A5BF2">
        <w:rPr>
          <w:i/>
          <w:sz w:val="20"/>
          <w:szCs w:val="20"/>
        </w:rPr>
        <w:t>Food Standards (Application A1176 – Enzymatic Production of Steviol Glycosides) Variation.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ind w:left="851" w:hanging="851"/>
        <w:rPr>
          <w:b/>
          <w:sz w:val="20"/>
          <w:szCs w:val="20"/>
        </w:rPr>
      </w:pPr>
      <w:r w:rsidRPr="000A5BF2">
        <w:rPr>
          <w:b/>
          <w:sz w:val="20"/>
          <w:szCs w:val="20"/>
        </w:rPr>
        <w:t>2</w:t>
      </w:r>
      <w:r w:rsidRPr="000A5BF2">
        <w:rPr>
          <w:b/>
          <w:sz w:val="20"/>
          <w:szCs w:val="20"/>
        </w:rPr>
        <w:tab/>
        <w:t xml:space="preserve">Variation to standards in the </w:t>
      </w:r>
      <w:r w:rsidRPr="000A5BF2">
        <w:rPr>
          <w:b/>
          <w:i/>
          <w:sz w:val="20"/>
          <w:szCs w:val="20"/>
        </w:rPr>
        <w:t>Australia New Zealand Food Standards Code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sz w:val="20"/>
          <w:szCs w:val="20"/>
        </w:rPr>
      </w:pPr>
      <w:r w:rsidRPr="000A5BF2">
        <w:rPr>
          <w:sz w:val="20"/>
          <w:szCs w:val="20"/>
        </w:rPr>
        <w:t xml:space="preserve">The Schedule varies Standards in the </w:t>
      </w:r>
      <w:r w:rsidRPr="000A5BF2">
        <w:rPr>
          <w:i/>
          <w:sz w:val="20"/>
          <w:szCs w:val="20"/>
        </w:rPr>
        <w:t>Australia New Zealand Food Standards Code</w:t>
      </w:r>
      <w:r w:rsidRPr="000A5BF2">
        <w:rPr>
          <w:sz w:val="20"/>
          <w:szCs w:val="20"/>
        </w:rPr>
        <w:t>.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ind w:left="851" w:hanging="851"/>
        <w:rPr>
          <w:b/>
          <w:sz w:val="20"/>
          <w:szCs w:val="20"/>
        </w:rPr>
      </w:pPr>
      <w:r w:rsidRPr="000A5BF2">
        <w:rPr>
          <w:b/>
          <w:sz w:val="20"/>
          <w:szCs w:val="20"/>
        </w:rPr>
        <w:t>3</w:t>
      </w:r>
      <w:r w:rsidRPr="000A5BF2">
        <w:rPr>
          <w:b/>
          <w:sz w:val="20"/>
          <w:szCs w:val="20"/>
        </w:rPr>
        <w:tab/>
        <w:t>Commencement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sz w:val="20"/>
          <w:szCs w:val="20"/>
        </w:rPr>
      </w:pPr>
      <w:r w:rsidRPr="000A5BF2">
        <w:rPr>
          <w:sz w:val="20"/>
          <w:szCs w:val="20"/>
        </w:rPr>
        <w:t>The variation commences on the date of gazettal.</w:t>
      </w:r>
    </w:p>
    <w:p w:rsidR="00B360F0" w:rsidRPr="000A5BF2" w:rsidRDefault="00B360F0" w:rsidP="00B360F0">
      <w:pPr>
        <w:tabs>
          <w:tab w:val="left" w:pos="851"/>
        </w:tabs>
        <w:jc w:val="center"/>
        <w:rPr>
          <w:b/>
          <w:sz w:val="20"/>
          <w:szCs w:val="20"/>
        </w:rPr>
      </w:pPr>
      <w:r w:rsidRPr="000A5BF2">
        <w:rPr>
          <w:b/>
          <w:sz w:val="20"/>
          <w:szCs w:val="20"/>
        </w:rPr>
        <w:t>Schedule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ind w:left="2127" w:hanging="2127"/>
        <w:rPr>
          <w:sz w:val="20"/>
          <w:szCs w:val="20"/>
        </w:rPr>
      </w:pPr>
      <w:r w:rsidRPr="000A5BF2">
        <w:rPr>
          <w:b/>
          <w:sz w:val="20"/>
          <w:szCs w:val="20"/>
        </w:rPr>
        <w:t>[1]</w:t>
      </w:r>
      <w:r w:rsidRPr="000A5BF2">
        <w:rPr>
          <w:b/>
          <w:sz w:val="20"/>
          <w:szCs w:val="20"/>
        </w:rPr>
        <w:tab/>
        <w:t>Schedule 3</w:t>
      </w:r>
      <w:r w:rsidRPr="000A5BF2">
        <w:rPr>
          <w:sz w:val="20"/>
          <w:szCs w:val="20"/>
        </w:rPr>
        <w:t xml:space="preserve"> is varied by 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rFonts w:eastAsia="Calibri"/>
          <w:iCs/>
          <w:sz w:val="20"/>
          <w:szCs w:val="20"/>
        </w:rPr>
      </w:pPr>
      <w:r w:rsidRPr="000A5BF2">
        <w:rPr>
          <w:rFonts w:eastAsia="Calibri"/>
          <w:iCs/>
          <w:sz w:val="20"/>
          <w:szCs w:val="20"/>
        </w:rPr>
        <w:t>[1.1]</w:t>
      </w:r>
      <w:r w:rsidRPr="000A5BF2">
        <w:rPr>
          <w:rFonts w:eastAsia="Calibri"/>
          <w:iCs/>
          <w:sz w:val="20"/>
          <w:szCs w:val="20"/>
        </w:rPr>
        <w:tab/>
        <w:t>omitting subsection S3—35(1), substituting</w:t>
      </w:r>
    </w:p>
    <w:p w:rsidR="00B360F0" w:rsidRPr="000A5BF2" w:rsidRDefault="00B360F0" w:rsidP="00B360F0">
      <w:pPr>
        <w:tabs>
          <w:tab w:val="left" w:pos="851"/>
          <w:tab w:val="left" w:pos="1134"/>
        </w:tabs>
        <w:spacing w:before="120" w:after="120"/>
        <w:rPr>
          <w:rFonts w:cs="Arial"/>
          <w:iCs/>
          <w:sz w:val="20"/>
          <w:lang w:eastAsia="en-AU"/>
        </w:rPr>
      </w:pPr>
      <w:r w:rsidRPr="000A5BF2">
        <w:rPr>
          <w:rFonts w:cs="Arial"/>
          <w:iCs/>
          <w:sz w:val="20"/>
          <w:lang w:eastAsia="en-AU"/>
        </w:rPr>
        <w:tab/>
      </w:r>
      <w:r w:rsidRPr="000A5BF2">
        <w:rPr>
          <w:rFonts w:cs="Arial"/>
          <w:iCs/>
          <w:sz w:val="20"/>
          <w:lang w:eastAsia="en-AU"/>
        </w:rPr>
        <w:tab/>
        <w:t>(1)</w:t>
      </w:r>
      <w:r w:rsidRPr="000A5BF2">
        <w:rPr>
          <w:rFonts w:cs="Arial"/>
          <w:iCs/>
          <w:sz w:val="20"/>
          <w:lang w:eastAsia="en-AU"/>
        </w:rPr>
        <w:tab/>
        <w:t>In this section:</w:t>
      </w:r>
    </w:p>
    <w:p w:rsidR="00B360F0" w:rsidRPr="000A5BF2" w:rsidRDefault="00B360F0" w:rsidP="00B360F0">
      <w:pPr>
        <w:tabs>
          <w:tab w:val="left" w:pos="1134"/>
        </w:tabs>
        <w:spacing w:before="120" w:after="120"/>
        <w:ind w:left="1701"/>
        <w:rPr>
          <w:rFonts w:cs="Arial"/>
          <w:iCs/>
          <w:sz w:val="20"/>
          <w:lang w:eastAsia="en-AU"/>
        </w:rPr>
      </w:pPr>
      <w:r w:rsidRPr="000A5BF2">
        <w:rPr>
          <w:rFonts w:eastAsia="Calibri" w:cs="Arial"/>
          <w:b/>
          <w:i/>
          <w:sz w:val="20"/>
          <w:lang w:eastAsia="en-AU"/>
        </w:rPr>
        <w:t>prescribed rebaudiosides</w:t>
      </w:r>
      <w:r w:rsidRPr="000A5BF2">
        <w:rPr>
          <w:rFonts w:eastAsia="Calibri" w:cs="Arial"/>
          <w:sz w:val="20"/>
          <w:lang w:eastAsia="en-AU"/>
        </w:rPr>
        <w:t xml:space="preserve"> </w:t>
      </w:r>
      <w:r w:rsidRPr="000A5BF2">
        <w:rPr>
          <w:rFonts w:cs="Arial"/>
          <w:iCs/>
          <w:sz w:val="20"/>
          <w:lang w:eastAsia="en-AU"/>
        </w:rPr>
        <w:t>are:</w:t>
      </w:r>
    </w:p>
    <w:p w:rsidR="00B360F0" w:rsidRPr="000A5BF2" w:rsidRDefault="00B360F0" w:rsidP="00B360F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lang w:val="en-AU" w:eastAsia="en-AU"/>
        </w:rPr>
      </w:pPr>
      <w:r w:rsidRPr="000A5BF2">
        <w:rPr>
          <w:rFonts w:cs="Arial"/>
          <w:iCs/>
          <w:sz w:val="20"/>
          <w:lang w:val="en-AU" w:eastAsia="en-AU"/>
        </w:rPr>
        <w:tab/>
      </w:r>
      <w:r w:rsidRPr="000A5BF2">
        <w:rPr>
          <w:rFonts w:cs="Arial"/>
          <w:iCs/>
          <w:sz w:val="20"/>
          <w:lang w:val="en-AU" w:eastAsia="en-AU"/>
        </w:rPr>
        <w:tab/>
        <w:t>(a)</w:t>
      </w:r>
      <w:r w:rsidRPr="000A5BF2">
        <w:rPr>
          <w:rFonts w:cs="Arial"/>
          <w:iCs/>
          <w:sz w:val="20"/>
          <w:lang w:val="en-AU" w:eastAsia="en-AU"/>
        </w:rPr>
        <w:tab/>
        <w:t>rebaudioside D;</w:t>
      </w:r>
    </w:p>
    <w:p w:rsidR="00B360F0" w:rsidRPr="000A5BF2" w:rsidRDefault="00B360F0" w:rsidP="00B360F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lang w:val="en-AU" w:eastAsia="en-AU"/>
        </w:rPr>
      </w:pPr>
      <w:r w:rsidRPr="000A5BF2">
        <w:rPr>
          <w:rFonts w:cs="Arial"/>
          <w:iCs/>
          <w:sz w:val="20"/>
          <w:lang w:val="en-AU" w:eastAsia="en-AU"/>
        </w:rPr>
        <w:tab/>
      </w:r>
      <w:r w:rsidRPr="000A5BF2">
        <w:rPr>
          <w:rFonts w:cs="Arial"/>
          <w:iCs/>
          <w:sz w:val="20"/>
          <w:lang w:val="en-AU" w:eastAsia="en-AU"/>
        </w:rPr>
        <w:tab/>
        <w:t>(b)</w:t>
      </w:r>
      <w:r w:rsidRPr="000A5BF2">
        <w:rPr>
          <w:rFonts w:cs="Arial"/>
          <w:iCs/>
          <w:sz w:val="20"/>
          <w:lang w:val="en-AU" w:eastAsia="en-AU"/>
        </w:rPr>
        <w:tab/>
        <w:t>rebaudioside M; and</w:t>
      </w:r>
    </w:p>
    <w:p w:rsidR="00B360F0" w:rsidRPr="000A5BF2" w:rsidRDefault="00B360F0" w:rsidP="00B360F0">
      <w:pPr>
        <w:tabs>
          <w:tab w:val="left" w:pos="851"/>
          <w:tab w:val="left" w:pos="1701"/>
        </w:tabs>
        <w:spacing w:before="60" w:after="60"/>
        <w:rPr>
          <w:rFonts w:cs="Arial"/>
          <w:iCs/>
          <w:sz w:val="20"/>
          <w:lang w:val="en-AU" w:eastAsia="en-AU"/>
        </w:rPr>
      </w:pPr>
      <w:r w:rsidRPr="000A5BF2">
        <w:rPr>
          <w:rFonts w:cs="Arial"/>
          <w:iCs/>
          <w:sz w:val="20"/>
          <w:lang w:val="en-AU" w:eastAsia="en-AU"/>
        </w:rPr>
        <w:tab/>
      </w:r>
      <w:r w:rsidRPr="000A5BF2">
        <w:rPr>
          <w:rFonts w:cs="Arial"/>
          <w:iCs/>
          <w:sz w:val="20"/>
          <w:lang w:val="en-AU" w:eastAsia="en-AU"/>
        </w:rPr>
        <w:tab/>
        <w:t>(c)</w:t>
      </w:r>
      <w:r w:rsidRPr="000A5BF2">
        <w:rPr>
          <w:rFonts w:cs="Arial"/>
          <w:iCs/>
          <w:sz w:val="20"/>
          <w:lang w:val="en-AU" w:eastAsia="en-AU"/>
        </w:rPr>
        <w:tab/>
        <w:t>rebaudioside AM.</w:t>
      </w:r>
      <w:r w:rsidRPr="000A5BF2">
        <w:rPr>
          <w:rFonts w:cs="Arial"/>
          <w:iCs/>
          <w:sz w:val="20"/>
          <w:lang w:val="en-AU" w:eastAsia="en-AU"/>
        </w:rPr>
        <w:br/>
      </w:r>
    </w:p>
    <w:p w:rsidR="00B360F0" w:rsidRPr="000A5BF2" w:rsidRDefault="00B360F0" w:rsidP="00B360F0">
      <w:pPr>
        <w:tabs>
          <w:tab w:val="left" w:pos="851"/>
          <w:tab w:val="left" w:pos="1701"/>
        </w:tabs>
        <w:spacing w:before="60" w:after="60"/>
        <w:ind w:left="2268" w:hanging="2268"/>
        <w:rPr>
          <w:rFonts w:cs="Arial"/>
          <w:iCs/>
          <w:sz w:val="20"/>
          <w:szCs w:val="20"/>
          <w:lang w:eastAsia="en-AU"/>
        </w:rPr>
      </w:pPr>
      <w:r w:rsidRPr="000A5BF2">
        <w:rPr>
          <w:rFonts w:cs="Arial"/>
          <w:iCs/>
          <w:sz w:val="20"/>
          <w:lang w:val="en-AU" w:eastAsia="en-AU"/>
        </w:rPr>
        <w:tab/>
      </w:r>
      <w:r w:rsidRPr="000A5BF2">
        <w:rPr>
          <w:rFonts w:cs="Arial"/>
          <w:iCs/>
          <w:sz w:val="20"/>
          <w:lang w:val="en-AU" w:eastAsia="en-AU"/>
        </w:rPr>
        <w:tab/>
      </w:r>
      <w:r w:rsidRPr="000A5BF2">
        <w:rPr>
          <w:rFonts w:cs="Arial"/>
          <w:b/>
          <w:i/>
          <w:iCs/>
          <w:sz w:val="20"/>
          <w:lang w:val="en-AU" w:eastAsia="en-AU"/>
        </w:rPr>
        <w:t>rebaudioside AM</w:t>
      </w:r>
      <w:r w:rsidRPr="000A5BF2">
        <w:rPr>
          <w:rFonts w:cs="Arial"/>
          <w:iCs/>
          <w:sz w:val="20"/>
          <w:szCs w:val="20"/>
          <w:lang w:val="en-AU" w:eastAsia="en-AU"/>
        </w:rPr>
        <w:t xml:space="preserve"> means the </w:t>
      </w:r>
      <w:r w:rsidRPr="000A5BF2">
        <w:rPr>
          <w:rFonts w:cs="Arial"/>
          <w:iCs/>
          <w:sz w:val="20"/>
          <w:lang w:val="en-AU" w:eastAsia="en-AU"/>
        </w:rPr>
        <w:t xml:space="preserve">steviol glycoside with the </w:t>
      </w:r>
      <w:r w:rsidRPr="000A5BF2">
        <w:rPr>
          <w:rFonts w:cs="Arial"/>
          <w:iCs/>
          <w:sz w:val="20"/>
          <w:szCs w:val="20"/>
          <w:lang w:val="en-AU" w:eastAsia="en-AU"/>
        </w:rPr>
        <w:t xml:space="preserve">chemical name: </w:t>
      </w:r>
      <w:r w:rsidRPr="000A5BF2">
        <w:rPr>
          <w:rFonts w:cs="Arial"/>
          <w:iCs/>
          <w:sz w:val="20"/>
          <w:szCs w:val="20"/>
          <w:lang w:eastAsia="en-AU"/>
        </w:rPr>
        <w:t>13-[(2-O-β-D-glucopyranosyl-β-D-glucopyranosyl)oxy]kaur-16-en-18-oic acid, 2-O-β-D-glucopyranosyl-3-O-β-D-glucopyranosyl-β-D-glucopyranosyl ester.</w:t>
      </w:r>
    </w:p>
    <w:p w:rsidR="00B360F0" w:rsidRPr="000A5BF2" w:rsidRDefault="00B360F0" w:rsidP="00B360F0">
      <w:pPr>
        <w:tabs>
          <w:tab w:val="left" w:pos="851"/>
          <w:tab w:val="left" w:pos="1134"/>
        </w:tabs>
        <w:spacing w:before="120" w:after="120"/>
        <w:ind w:left="1701" w:hanging="1701"/>
        <w:rPr>
          <w:rFonts w:cs="Arial"/>
          <w:iCs/>
          <w:sz w:val="20"/>
          <w:lang w:eastAsia="en-AU"/>
        </w:rPr>
      </w:pPr>
      <w:r w:rsidRPr="000A5BF2">
        <w:rPr>
          <w:rFonts w:cs="Arial"/>
          <w:iCs/>
          <w:sz w:val="20"/>
          <w:lang w:eastAsia="en-AU"/>
        </w:rPr>
        <w:tab/>
      </w:r>
      <w:r w:rsidRPr="000A5BF2">
        <w:rPr>
          <w:rFonts w:cs="Arial"/>
          <w:iCs/>
          <w:sz w:val="20"/>
          <w:lang w:eastAsia="en-AU"/>
        </w:rPr>
        <w:tab/>
        <w:t>(1A)</w:t>
      </w:r>
      <w:r w:rsidRPr="000A5BF2">
        <w:rPr>
          <w:rFonts w:cs="Arial"/>
          <w:iCs/>
          <w:sz w:val="20"/>
          <w:lang w:eastAsia="en-AU"/>
        </w:rPr>
        <w:tab/>
        <w:t xml:space="preserve">This specification relates to a steviol glycosides preparation obtained from the leaves of the </w:t>
      </w:r>
      <w:r w:rsidRPr="000A5BF2">
        <w:rPr>
          <w:rFonts w:cs="Arial"/>
          <w:i/>
          <w:iCs/>
          <w:sz w:val="20"/>
          <w:lang w:eastAsia="en-AU"/>
        </w:rPr>
        <w:t>Stevia rebaudiana</w:t>
      </w:r>
      <w:r w:rsidRPr="000A5BF2">
        <w:rPr>
          <w:rFonts w:cs="Arial"/>
          <w:iCs/>
          <w:sz w:val="20"/>
          <w:lang w:eastAsia="en-AU"/>
        </w:rPr>
        <w:t xml:space="preserve"> Bertoni plant.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ind w:left="2127" w:hanging="2127"/>
        <w:rPr>
          <w:rFonts w:eastAsia="Calibri"/>
          <w:iCs/>
          <w:sz w:val="20"/>
          <w:szCs w:val="20"/>
        </w:rPr>
      </w:pPr>
      <w:r w:rsidRPr="000A5BF2">
        <w:rPr>
          <w:rFonts w:eastAsia="Calibri"/>
          <w:iCs/>
          <w:sz w:val="20"/>
          <w:szCs w:val="20"/>
        </w:rPr>
        <w:t>[1.2]</w:t>
      </w:r>
      <w:r w:rsidRPr="000A5BF2">
        <w:rPr>
          <w:rFonts w:eastAsia="Calibri"/>
          <w:iCs/>
          <w:sz w:val="20"/>
          <w:szCs w:val="20"/>
        </w:rPr>
        <w:tab/>
        <w:t>omitting paragraph S3—35(2)(c), substituting</w:t>
      </w:r>
    </w:p>
    <w:p w:rsidR="00B360F0" w:rsidRPr="000A5BF2" w:rsidRDefault="00B360F0" w:rsidP="00B360F0">
      <w:pPr>
        <w:widowControl w:val="0"/>
        <w:numPr>
          <w:ilvl w:val="0"/>
          <w:numId w:val="16"/>
        </w:numPr>
        <w:tabs>
          <w:tab w:val="left" w:pos="851"/>
          <w:tab w:val="left" w:pos="1701"/>
        </w:tabs>
        <w:spacing w:before="120" w:after="120"/>
        <w:ind w:left="2268" w:hanging="567"/>
        <w:rPr>
          <w:rFonts w:eastAsia="Calibri" w:cs="Arial"/>
          <w:iCs/>
          <w:sz w:val="20"/>
          <w:szCs w:val="20"/>
          <w:lang w:eastAsia="en-AU"/>
        </w:rPr>
      </w:pPr>
      <w:r w:rsidRPr="000A5BF2">
        <w:rPr>
          <w:rFonts w:eastAsia="Calibri" w:cs="Arial"/>
          <w:iCs/>
          <w:sz w:val="20"/>
          <w:szCs w:val="20"/>
          <w:lang w:eastAsia="en-AU"/>
        </w:rPr>
        <w:t>by enzymatic conversion of purified stevia leaf extract to produce rebaudioside D using a protein engineered enzyme that:</w:t>
      </w:r>
    </w:p>
    <w:p w:rsidR="00B360F0" w:rsidRPr="000A5BF2" w:rsidRDefault="00B360F0" w:rsidP="00B360F0">
      <w:pPr>
        <w:widowControl w:val="0"/>
        <w:numPr>
          <w:ilvl w:val="0"/>
          <w:numId w:val="15"/>
        </w:numPr>
        <w:tabs>
          <w:tab w:val="left" w:pos="851"/>
          <w:tab w:val="left" w:pos="1701"/>
        </w:tabs>
        <w:spacing w:before="60" w:after="60"/>
        <w:ind w:left="2988"/>
        <w:rPr>
          <w:rFonts w:eastAsia="Calibri" w:cs="Arial"/>
          <w:iCs/>
          <w:sz w:val="20"/>
          <w:szCs w:val="20"/>
          <w:lang w:eastAsia="en-AU"/>
        </w:rPr>
      </w:pPr>
      <w:r w:rsidRPr="000A5BF2">
        <w:rPr>
          <w:rFonts w:eastAsia="Calibri" w:cs="Arial"/>
          <w:iCs/>
          <w:sz w:val="20"/>
          <w:szCs w:val="20"/>
          <w:lang w:eastAsia="en-AU"/>
        </w:rPr>
        <w:t>contains both UDP</w:t>
      </w:r>
      <w:r w:rsidRPr="000A5BF2">
        <w:rPr>
          <w:rFonts w:eastAsia="Calibri" w:cs="Arial"/>
          <w:iCs/>
          <w:sz w:val="20"/>
          <w:szCs w:val="20"/>
          <w:lang w:eastAsia="en-AU"/>
        </w:rPr>
        <w:noBreakHyphen/>
        <w:t>glucosyltransferase (EC 2.4.1.17) and sucrose synthase (EC 2.4.1.13) components;</w:t>
      </w:r>
      <w:r w:rsidRPr="000A5BF2">
        <w:rPr>
          <w:rFonts w:cs="Arial"/>
          <w:iCs/>
          <w:sz w:val="20"/>
          <w:szCs w:val="20"/>
          <w:lang w:eastAsia="en-AU"/>
        </w:rPr>
        <w:t xml:space="preserve"> and </w:t>
      </w:r>
    </w:p>
    <w:p w:rsidR="00B360F0" w:rsidRPr="000A5BF2" w:rsidRDefault="00B360F0" w:rsidP="00B360F0">
      <w:pPr>
        <w:widowControl w:val="0"/>
        <w:numPr>
          <w:ilvl w:val="0"/>
          <w:numId w:val="15"/>
        </w:numPr>
        <w:tabs>
          <w:tab w:val="left" w:pos="851"/>
          <w:tab w:val="left" w:pos="1701"/>
        </w:tabs>
        <w:spacing w:before="60" w:after="60"/>
        <w:ind w:left="2988"/>
        <w:rPr>
          <w:rFonts w:eastAsia="Calibri" w:cs="Arial"/>
          <w:iCs/>
          <w:sz w:val="20"/>
          <w:szCs w:val="20"/>
          <w:lang w:eastAsia="en-AU"/>
        </w:rPr>
      </w:pPr>
      <w:r w:rsidRPr="000A5BF2">
        <w:rPr>
          <w:rFonts w:cs="Arial"/>
          <w:iCs/>
          <w:sz w:val="20"/>
          <w:szCs w:val="20"/>
          <w:lang w:eastAsia="en-AU"/>
        </w:rPr>
        <w:t xml:space="preserve">is sourced from </w:t>
      </w:r>
      <w:r w:rsidRPr="000A5BF2">
        <w:rPr>
          <w:rFonts w:cs="Arial"/>
          <w:i/>
          <w:iCs/>
          <w:sz w:val="20"/>
          <w:szCs w:val="20"/>
          <w:lang w:eastAsia="en-AU"/>
        </w:rPr>
        <w:t>Pichia pastoris</w:t>
      </w:r>
      <w:r w:rsidRPr="000A5BF2">
        <w:rPr>
          <w:rFonts w:cs="Arial"/>
          <w:iCs/>
          <w:sz w:val="20"/>
          <w:szCs w:val="20"/>
          <w:lang w:eastAsia="en-AU"/>
        </w:rPr>
        <w:t xml:space="preserve"> strain UGT-A;</w:t>
      </w:r>
    </w:p>
    <w:p w:rsidR="00B360F0" w:rsidRPr="000A5BF2" w:rsidRDefault="00B360F0" w:rsidP="00B360F0">
      <w:pPr>
        <w:widowControl w:val="0"/>
        <w:numPr>
          <w:ilvl w:val="0"/>
          <w:numId w:val="16"/>
        </w:numPr>
        <w:tabs>
          <w:tab w:val="left" w:pos="851"/>
          <w:tab w:val="left" w:pos="1701"/>
        </w:tabs>
        <w:spacing w:before="120" w:after="120"/>
        <w:ind w:left="2268" w:hanging="567"/>
        <w:rPr>
          <w:rFonts w:eastAsia="Calibri" w:cs="Arial"/>
          <w:iCs/>
          <w:sz w:val="20"/>
          <w:szCs w:val="20"/>
          <w:lang w:eastAsia="en-AU"/>
        </w:rPr>
      </w:pPr>
      <w:r w:rsidRPr="000A5BF2">
        <w:rPr>
          <w:rFonts w:cs="Arial"/>
          <w:sz w:val="20"/>
          <w:szCs w:val="20"/>
          <w:lang w:eastAsia="en-AU"/>
        </w:rPr>
        <w:t>by enzymatic conversion of purified stevia leaf extract to produce one or more prescribed rebaudiosides using a combination of enzymes that contains</w:t>
      </w:r>
      <w:r w:rsidRPr="000A5BF2">
        <w:rPr>
          <w:rFonts w:eastAsia="Calibri" w:cs="Arial"/>
          <w:iCs/>
          <w:sz w:val="20"/>
          <w:szCs w:val="20"/>
          <w:lang w:eastAsia="en-AU"/>
        </w:rPr>
        <w:t>:</w:t>
      </w:r>
    </w:p>
    <w:p w:rsidR="00B360F0" w:rsidRPr="000A5BF2" w:rsidRDefault="00B360F0" w:rsidP="00B360F0">
      <w:pPr>
        <w:widowControl w:val="0"/>
        <w:numPr>
          <w:ilvl w:val="0"/>
          <w:numId w:val="17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0A5BF2">
        <w:rPr>
          <w:rFonts w:cs="Arial"/>
          <w:sz w:val="20"/>
          <w:szCs w:val="20"/>
        </w:rPr>
        <w:t xml:space="preserve">a UDP-glucosyltransferase from </w:t>
      </w:r>
      <w:r w:rsidRPr="000A5BF2">
        <w:rPr>
          <w:rFonts w:cs="Arial"/>
          <w:i/>
          <w:iCs/>
          <w:sz w:val="20"/>
          <w:szCs w:val="20"/>
        </w:rPr>
        <w:t>Stevia rebaudiana</w:t>
      </w:r>
      <w:r w:rsidRPr="000A5BF2">
        <w:rPr>
          <w:rFonts w:cs="Arial"/>
          <w:sz w:val="20"/>
          <w:szCs w:val="20"/>
        </w:rPr>
        <w:t xml:space="preserve"> sourced from </w:t>
      </w:r>
      <w:r w:rsidRPr="000A5BF2">
        <w:rPr>
          <w:rFonts w:cs="Arial"/>
          <w:i/>
          <w:iCs/>
          <w:sz w:val="20"/>
          <w:szCs w:val="20"/>
        </w:rPr>
        <w:t>Escherichia coli</w:t>
      </w:r>
      <w:r w:rsidRPr="000A5BF2">
        <w:rPr>
          <w:rFonts w:eastAsia="Calibri" w:cs="Arial"/>
          <w:iCs/>
          <w:sz w:val="20"/>
          <w:szCs w:val="20"/>
          <w:lang w:eastAsia="en-AU"/>
        </w:rPr>
        <w:t>;</w:t>
      </w:r>
      <w:r w:rsidRPr="000A5BF2">
        <w:rPr>
          <w:rFonts w:cs="Arial"/>
          <w:iCs/>
          <w:sz w:val="20"/>
          <w:szCs w:val="20"/>
          <w:lang w:eastAsia="en-AU"/>
        </w:rPr>
        <w:t xml:space="preserve"> and </w:t>
      </w:r>
    </w:p>
    <w:p w:rsidR="00B360F0" w:rsidRPr="000A5BF2" w:rsidRDefault="00B360F0" w:rsidP="00B360F0">
      <w:pPr>
        <w:widowControl w:val="0"/>
        <w:numPr>
          <w:ilvl w:val="0"/>
          <w:numId w:val="17"/>
        </w:numPr>
        <w:tabs>
          <w:tab w:val="left" w:pos="851"/>
          <w:tab w:val="left" w:pos="1701"/>
        </w:tabs>
        <w:spacing w:before="60" w:after="60"/>
        <w:rPr>
          <w:rFonts w:eastAsia="Calibri" w:cs="Arial"/>
          <w:iCs/>
          <w:sz w:val="20"/>
          <w:szCs w:val="20"/>
          <w:lang w:eastAsia="en-AU"/>
        </w:rPr>
      </w:pPr>
      <w:r w:rsidRPr="000A5BF2">
        <w:rPr>
          <w:rFonts w:cs="Arial"/>
          <w:sz w:val="20"/>
          <w:szCs w:val="20"/>
        </w:rPr>
        <w:t xml:space="preserve">a UDP-glucosyltransferase from </w:t>
      </w:r>
      <w:r w:rsidRPr="000A5BF2">
        <w:rPr>
          <w:rFonts w:cs="Arial"/>
          <w:i/>
          <w:iCs/>
          <w:sz w:val="20"/>
          <w:szCs w:val="20"/>
        </w:rPr>
        <w:t>Solanum lycopersicum</w:t>
      </w:r>
      <w:r w:rsidRPr="000A5BF2">
        <w:rPr>
          <w:rFonts w:cs="Arial"/>
          <w:sz w:val="20"/>
          <w:szCs w:val="20"/>
        </w:rPr>
        <w:t xml:space="preserve"> sourced from </w:t>
      </w:r>
      <w:r w:rsidRPr="000A5BF2">
        <w:rPr>
          <w:rFonts w:cs="Arial"/>
          <w:i/>
          <w:iCs/>
          <w:sz w:val="20"/>
          <w:szCs w:val="20"/>
        </w:rPr>
        <w:t>Escherichia coli</w:t>
      </w:r>
      <w:r w:rsidRPr="000A5BF2">
        <w:rPr>
          <w:rFonts w:cs="Arial"/>
          <w:sz w:val="20"/>
          <w:szCs w:val="20"/>
          <w:lang w:eastAsia="en-AU"/>
        </w:rPr>
        <w:t>; and</w:t>
      </w:r>
    </w:p>
    <w:p w:rsidR="00B360F0" w:rsidRPr="000A5BF2" w:rsidRDefault="00B360F0" w:rsidP="00B360F0">
      <w:pPr>
        <w:numPr>
          <w:ilvl w:val="0"/>
          <w:numId w:val="17"/>
        </w:numPr>
        <w:tabs>
          <w:tab w:val="left" w:pos="851"/>
        </w:tabs>
        <w:spacing w:before="60" w:after="60"/>
        <w:rPr>
          <w:rFonts w:cs="Arial"/>
          <w:sz w:val="20"/>
          <w:szCs w:val="20"/>
          <w:lang w:eastAsia="en-AU"/>
        </w:rPr>
      </w:pPr>
      <w:r w:rsidRPr="000A5BF2">
        <w:rPr>
          <w:rFonts w:cs="Arial"/>
          <w:sz w:val="20"/>
          <w:szCs w:val="20"/>
          <w:lang w:eastAsia="en-AU"/>
        </w:rPr>
        <w:t xml:space="preserve">a </w:t>
      </w:r>
      <w:r w:rsidRPr="000A5BF2">
        <w:rPr>
          <w:rFonts w:cs="Arial"/>
          <w:sz w:val="20"/>
          <w:szCs w:val="20"/>
        </w:rPr>
        <w:t xml:space="preserve">sucrose synthase (EC 2.4.1.13) sourced from </w:t>
      </w:r>
      <w:r w:rsidRPr="000A5BF2">
        <w:rPr>
          <w:rFonts w:cs="Arial"/>
          <w:i/>
          <w:iCs/>
          <w:sz w:val="20"/>
          <w:szCs w:val="20"/>
        </w:rPr>
        <w:t>Escherichia coli</w:t>
      </w:r>
      <w:r w:rsidRPr="000A5BF2">
        <w:rPr>
          <w:rFonts w:cs="Arial"/>
          <w:sz w:val="20"/>
          <w:szCs w:val="20"/>
          <w:lang w:eastAsia="en-AU"/>
        </w:rPr>
        <w:t>.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b/>
          <w:sz w:val="20"/>
          <w:szCs w:val="20"/>
        </w:rPr>
      </w:pPr>
      <w:r w:rsidRPr="000A5BF2">
        <w:rPr>
          <w:sz w:val="20"/>
          <w:szCs w:val="20"/>
        </w:rPr>
        <w:t>[1.3]</w:t>
      </w:r>
      <w:r w:rsidRPr="000A5BF2">
        <w:rPr>
          <w:sz w:val="20"/>
          <w:szCs w:val="20"/>
        </w:rPr>
        <w:tab/>
        <w:t>omitting</w:t>
      </w:r>
      <w:r w:rsidRPr="000A5BF2">
        <w:rPr>
          <w:b/>
          <w:sz w:val="20"/>
          <w:szCs w:val="20"/>
        </w:rPr>
        <w:t xml:space="preserve"> </w:t>
      </w:r>
      <w:r w:rsidRPr="000A5BF2">
        <w:rPr>
          <w:rFonts w:eastAsia="Calibri"/>
          <w:iCs/>
          <w:sz w:val="20"/>
          <w:szCs w:val="20"/>
        </w:rPr>
        <w:t>paragraph S3—35(4)(a), substituting</w:t>
      </w:r>
    </w:p>
    <w:p w:rsidR="00B360F0" w:rsidRPr="000A5BF2" w:rsidRDefault="00B360F0" w:rsidP="00B360F0">
      <w:pPr>
        <w:shd w:val="clear" w:color="auto" w:fill="FFFFFF"/>
        <w:tabs>
          <w:tab w:val="left" w:pos="1701"/>
        </w:tabs>
        <w:spacing w:before="100" w:beforeAutospacing="1" w:after="100" w:afterAutospacing="1"/>
        <w:ind w:left="2268" w:hanging="2268"/>
        <w:rPr>
          <w:rFonts w:cs="Arial"/>
          <w:sz w:val="20"/>
          <w:szCs w:val="20"/>
          <w:lang w:val="en-AU" w:eastAsia="en-GB"/>
        </w:rPr>
      </w:pPr>
      <w:r w:rsidRPr="000A5BF2">
        <w:rPr>
          <w:rFonts w:ascii="Times New Roman" w:hAnsi="Times New Roman"/>
          <w:sz w:val="20"/>
          <w:szCs w:val="20"/>
          <w:lang w:eastAsia="en-GB"/>
        </w:rPr>
        <w:tab/>
      </w:r>
      <w:r w:rsidRPr="000A5BF2">
        <w:rPr>
          <w:sz w:val="20"/>
          <w:szCs w:val="20"/>
          <w:lang w:eastAsia="en-GB"/>
        </w:rPr>
        <w:t>(a)</w:t>
      </w:r>
      <w:r w:rsidRPr="000A5BF2">
        <w:rPr>
          <w:sz w:val="20"/>
          <w:szCs w:val="20"/>
          <w:lang w:eastAsia="en-GB"/>
        </w:rPr>
        <w:tab/>
      </w:r>
      <w:r w:rsidRPr="000A5BF2">
        <w:rPr>
          <w:sz w:val="20"/>
          <w:szCs w:val="20"/>
          <w:lang w:eastAsia="en-GB"/>
        </w:rPr>
        <w:tab/>
        <w:t>Description—white to light yellow powder, approximately 150 to 300 times sweeter than sucrose;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sz w:val="20"/>
          <w:szCs w:val="20"/>
        </w:rPr>
      </w:pPr>
      <w:r w:rsidRPr="000A5BF2">
        <w:rPr>
          <w:b/>
          <w:sz w:val="20"/>
          <w:szCs w:val="20"/>
        </w:rPr>
        <w:t>[2]</w:t>
      </w:r>
      <w:r w:rsidRPr="000A5BF2">
        <w:rPr>
          <w:sz w:val="20"/>
          <w:szCs w:val="20"/>
        </w:rPr>
        <w:tab/>
      </w:r>
      <w:r w:rsidRPr="000A5BF2">
        <w:rPr>
          <w:b/>
          <w:sz w:val="20"/>
          <w:szCs w:val="20"/>
        </w:rPr>
        <w:t>Schedule 18</w:t>
      </w:r>
      <w:r w:rsidRPr="000A5BF2">
        <w:rPr>
          <w:sz w:val="20"/>
          <w:szCs w:val="20"/>
        </w:rPr>
        <w:t xml:space="preserve"> is varied by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rFonts w:eastAsia="Calibri"/>
          <w:iCs/>
          <w:sz w:val="20"/>
          <w:szCs w:val="20"/>
        </w:rPr>
      </w:pPr>
      <w:r w:rsidRPr="000A5BF2">
        <w:rPr>
          <w:sz w:val="20"/>
          <w:szCs w:val="20"/>
        </w:rPr>
        <w:t>[2.1]</w:t>
      </w:r>
      <w:r w:rsidRPr="000A5BF2">
        <w:rPr>
          <w:sz w:val="20"/>
          <w:szCs w:val="20"/>
        </w:rPr>
        <w:tab/>
        <w:t xml:space="preserve">inserting in the table to subsection </w:t>
      </w:r>
      <w:r w:rsidRPr="000A5BF2">
        <w:rPr>
          <w:rFonts w:eastAsia="Calibri"/>
          <w:iCs/>
          <w:sz w:val="20"/>
          <w:szCs w:val="20"/>
        </w:rPr>
        <w:t>S18—9(3), in alphabetical order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rFonts w:eastAsia="Calibri"/>
          <w:iCs/>
          <w:sz w:val="20"/>
          <w:szCs w:val="20"/>
        </w:rPr>
      </w:pPr>
    </w:p>
    <w:tbl>
      <w:tblPr>
        <w:tblStyle w:val="PlainTable2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  <w:tblCaption w:val="Variation to Schedule 18"/>
      </w:tblPr>
      <w:tblGrid>
        <w:gridCol w:w="3120"/>
        <w:gridCol w:w="3603"/>
        <w:gridCol w:w="2349"/>
      </w:tblGrid>
      <w:tr w:rsidR="00B360F0" w:rsidRPr="000A5BF2" w:rsidTr="00F55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Sucrose synthase (EC 2.4.1.13) sourced from </w:t>
            </w:r>
            <w:r w:rsidRPr="00D51DF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Escherichia coli</w:t>
            </w: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 K-12 containing the gene for sucrose synthase from </w:t>
            </w:r>
            <w:r w:rsidRPr="00D51DF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Arabidopsis thaliana</w:t>
            </w:r>
          </w:p>
        </w:tc>
        <w:tc>
          <w:tcPr>
            <w:tcW w:w="3603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For the conversion of </w:t>
            </w:r>
            <w:r w:rsidRPr="00D51DF4">
              <w:rPr>
                <w:rFonts w:ascii="Arial" w:hAnsi="Arial" w:cs="Arial"/>
                <w:b w:val="0"/>
                <w:iCs/>
                <w:sz w:val="18"/>
                <w:szCs w:val="18"/>
              </w:rPr>
              <w:t>purified stevia leaf extract to produce one or more of the following: rebaudioside D, rebaudioside M; and rebaudioside AM</w:t>
            </w:r>
          </w:p>
        </w:tc>
        <w:tc>
          <w:tcPr>
            <w:tcW w:w="2349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</w:rPr>
              <w:t>GMP</w:t>
            </w:r>
          </w:p>
        </w:tc>
      </w:tr>
    </w:tbl>
    <w:tbl>
      <w:tblPr>
        <w:tblStyle w:val="TableGrid21"/>
        <w:tblW w:w="9072" w:type="dxa"/>
        <w:tblLook w:val="04A0" w:firstRow="1" w:lastRow="0" w:firstColumn="1" w:lastColumn="0" w:noHBand="0" w:noVBand="1"/>
        <w:tblCaption w:val="Variation to Schedule 18"/>
      </w:tblPr>
      <w:tblGrid>
        <w:gridCol w:w="3120"/>
        <w:gridCol w:w="3603"/>
        <w:gridCol w:w="2349"/>
      </w:tblGrid>
      <w:tr w:rsidR="00B360F0" w:rsidRPr="000A5BF2" w:rsidTr="00F559A5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B360F0" w:rsidRPr="000A5BF2" w:rsidRDefault="00B360F0" w:rsidP="00F559A5">
            <w:pPr>
              <w:tabs>
                <w:tab w:val="left" w:pos="851"/>
              </w:tabs>
              <w:rPr>
                <w:sz w:val="18"/>
                <w:szCs w:val="18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B360F0" w:rsidRPr="000A5BF2" w:rsidRDefault="00B360F0" w:rsidP="00F559A5">
            <w:pPr>
              <w:tabs>
                <w:tab w:val="left" w:pos="851"/>
              </w:tabs>
              <w:rPr>
                <w:sz w:val="18"/>
                <w:szCs w:val="18"/>
                <w:lang w:eastAsia="en-A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:rsidR="00B360F0" w:rsidRPr="000A5BF2" w:rsidRDefault="00B360F0" w:rsidP="00F559A5">
            <w:pPr>
              <w:tabs>
                <w:tab w:val="left" w:pos="851"/>
              </w:tabs>
              <w:rPr>
                <w:sz w:val="18"/>
                <w:szCs w:val="18"/>
                <w:lang w:eastAsia="en-AU"/>
              </w:rPr>
            </w:pPr>
          </w:p>
        </w:tc>
      </w:tr>
    </w:tbl>
    <w:p w:rsidR="00B360F0" w:rsidRPr="000A5BF2" w:rsidRDefault="00B360F0" w:rsidP="00B360F0">
      <w:pPr>
        <w:tabs>
          <w:tab w:val="left" w:pos="851"/>
        </w:tabs>
        <w:spacing w:before="120" w:after="120"/>
        <w:rPr>
          <w:rFonts w:eastAsia="Calibri"/>
          <w:iCs/>
          <w:sz w:val="20"/>
          <w:szCs w:val="20"/>
        </w:rPr>
      </w:pPr>
      <w:r w:rsidRPr="000A5BF2">
        <w:rPr>
          <w:sz w:val="20"/>
          <w:szCs w:val="20"/>
        </w:rPr>
        <w:t>[2.2]</w:t>
      </w:r>
      <w:r w:rsidRPr="000A5BF2">
        <w:rPr>
          <w:sz w:val="20"/>
          <w:szCs w:val="20"/>
        </w:rPr>
        <w:tab/>
        <w:t xml:space="preserve">inserting in the table to subsection </w:t>
      </w:r>
      <w:r w:rsidRPr="000A5BF2">
        <w:rPr>
          <w:rFonts w:eastAsia="Calibri"/>
          <w:iCs/>
          <w:sz w:val="20"/>
          <w:szCs w:val="20"/>
        </w:rPr>
        <w:t>S18—9(3), in alphabetical order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rFonts w:eastAsia="Calibri"/>
          <w:iCs/>
          <w:sz w:val="20"/>
          <w:szCs w:val="20"/>
        </w:rPr>
      </w:pPr>
    </w:p>
    <w:tbl>
      <w:tblPr>
        <w:tblStyle w:val="PlainTable2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B360F0" w:rsidRPr="000A5BF2" w:rsidTr="00F55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Uridine diphosphate (UDP) glucosyltransferase sourced from </w:t>
            </w:r>
            <w:r w:rsidRPr="00D51DF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Escherichia coli</w:t>
            </w: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 K-12 containing the UDP glucosyltransferase gene from </w:t>
            </w:r>
            <w:r w:rsidRPr="00D51DF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Solanum lycopersicum</w:t>
            </w:r>
          </w:p>
        </w:tc>
        <w:tc>
          <w:tcPr>
            <w:tcW w:w="3603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For the conversion of </w:t>
            </w:r>
            <w:r w:rsidRPr="00D51DF4">
              <w:rPr>
                <w:rFonts w:ascii="Arial" w:hAnsi="Arial" w:cs="Arial"/>
                <w:b w:val="0"/>
                <w:iCs/>
                <w:sz w:val="18"/>
                <w:szCs w:val="18"/>
              </w:rPr>
              <w:t>purified stevia leaf extract to produce one or more of the following: rebaudioside D, rebaudioside M; and rebaudioside AM</w:t>
            </w:r>
          </w:p>
        </w:tc>
        <w:tc>
          <w:tcPr>
            <w:tcW w:w="2349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</w:rPr>
              <w:t>GMP</w:t>
            </w:r>
          </w:p>
        </w:tc>
      </w:tr>
    </w:tbl>
    <w:p w:rsidR="00B360F0" w:rsidRPr="000A5BF2" w:rsidRDefault="00B360F0" w:rsidP="00B360F0">
      <w:pPr>
        <w:tabs>
          <w:tab w:val="left" w:pos="851"/>
        </w:tabs>
        <w:spacing w:before="120" w:after="120"/>
        <w:rPr>
          <w:sz w:val="20"/>
          <w:szCs w:val="20"/>
        </w:rPr>
      </w:pP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sz w:val="20"/>
          <w:szCs w:val="20"/>
        </w:rPr>
      </w:pPr>
      <w:r w:rsidRPr="000A5BF2">
        <w:rPr>
          <w:sz w:val="20"/>
          <w:szCs w:val="20"/>
        </w:rPr>
        <w:t>[2.3]        inserting in the table to subsection S18—9(3), in alphabetical order</w:t>
      </w:r>
    </w:p>
    <w:p w:rsidR="00B360F0" w:rsidRPr="000A5BF2" w:rsidRDefault="00B360F0" w:rsidP="00B360F0">
      <w:pPr>
        <w:tabs>
          <w:tab w:val="left" w:pos="851"/>
        </w:tabs>
        <w:spacing w:before="120" w:after="120"/>
        <w:rPr>
          <w:sz w:val="20"/>
          <w:szCs w:val="20"/>
        </w:rPr>
      </w:pPr>
    </w:p>
    <w:tbl>
      <w:tblPr>
        <w:tblStyle w:val="PlainTable21"/>
        <w:tblW w:w="9072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B360F0" w:rsidRPr="000A5BF2" w:rsidTr="00F559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0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Uridine diphosphate (UDP) glucosyltransferase sourced from </w:t>
            </w:r>
            <w:r w:rsidRPr="00D51DF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Escherichia coli</w:t>
            </w: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 xml:space="preserve"> K-12 containing the UDP glucosyltransferase gene from </w:t>
            </w:r>
            <w:r w:rsidRPr="00D51DF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Stevia rebaudiana</w:t>
            </w:r>
          </w:p>
        </w:tc>
        <w:tc>
          <w:tcPr>
            <w:tcW w:w="3603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  <w:szCs w:val="18"/>
              </w:rPr>
              <w:t>For the conversion of purified stevia leaf extract to produce one or more of the following: rebaudioside D, rebaudioside M; and rebaudioside AM.</w:t>
            </w:r>
          </w:p>
        </w:tc>
        <w:tc>
          <w:tcPr>
            <w:tcW w:w="2349" w:type="dxa"/>
            <w:tcBorders>
              <w:bottom w:val="none" w:sz="0" w:space="0" w:color="auto"/>
            </w:tcBorders>
          </w:tcPr>
          <w:p w:rsidR="00B360F0" w:rsidRPr="00D51DF4" w:rsidRDefault="00B360F0" w:rsidP="00F559A5">
            <w:pPr>
              <w:tabs>
                <w:tab w:val="right" w:pos="3969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</w:rPr>
            </w:pPr>
            <w:r w:rsidRPr="00D51DF4">
              <w:rPr>
                <w:rFonts w:ascii="Arial" w:hAnsi="Arial" w:cs="Arial"/>
                <w:b w:val="0"/>
                <w:sz w:val="18"/>
              </w:rPr>
              <w:t>GMP</w:t>
            </w:r>
          </w:p>
        </w:tc>
      </w:tr>
    </w:tbl>
    <w:p w:rsidR="00B360F0" w:rsidRPr="000A5BF2" w:rsidRDefault="00B360F0" w:rsidP="00B360F0">
      <w:pPr>
        <w:rPr>
          <w:lang w:val="en-AU" w:eastAsia="en-GB"/>
        </w:rPr>
      </w:pPr>
    </w:p>
    <w:p w:rsidR="00B360F0" w:rsidRDefault="00B360F0" w:rsidP="00B360F0">
      <w:r>
        <w:br w:type="page"/>
      </w:r>
    </w:p>
    <w:p w:rsidR="00B360F0" w:rsidRPr="00C0014E" w:rsidRDefault="00B360F0" w:rsidP="00B360F0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eastAsia="en-GB"/>
        </w:rPr>
        <w:drawing>
          <wp:inline distT="0" distB="0" distL="0" distR="0" wp14:anchorId="74502ED2" wp14:editId="43211A26">
            <wp:extent cx="2657475" cy="438150"/>
            <wp:effectExtent l="0" t="0" r="9525" b="0"/>
            <wp:docPr id="6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F0" w:rsidRPr="006153A1" w:rsidRDefault="00B360F0" w:rsidP="00B360F0">
      <w:pPr>
        <w:pBdr>
          <w:bottom w:val="single" w:sz="4" w:space="1" w:color="auto"/>
        </w:pBdr>
        <w:rPr>
          <w:b/>
          <w:bCs/>
          <w:szCs w:val="20"/>
        </w:rPr>
      </w:pPr>
    </w:p>
    <w:p w:rsidR="00B360F0" w:rsidRDefault="00B360F0" w:rsidP="00B360F0">
      <w:pPr>
        <w:pBdr>
          <w:bottom w:val="single" w:sz="4" w:space="1" w:color="auto"/>
        </w:pBdr>
        <w:rPr>
          <w:b/>
          <w:sz w:val="20"/>
        </w:rPr>
      </w:pPr>
      <w:r w:rsidRPr="006153A1">
        <w:rPr>
          <w:b/>
          <w:sz w:val="20"/>
        </w:rPr>
        <w:t>Food Standards (</w:t>
      </w:r>
      <w:r>
        <w:rPr>
          <w:b/>
          <w:sz w:val="20"/>
        </w:rPr>
        <w:t>Application A1181</w:t>
      </w:r>
      <w:r w:rsidRPr="00787A74">
        <w:rPr>
          <w:b/>
          <w:sz w:val="20"/>
        </w:rPr>
        <w:t xml:space="preserve"> – Maximum </w:t>
      </w:r>
      <w:r>
        <w:rPr>
          <w:b/>
          <w:sz w:val="20"/>
        </w:rPr>
        <w:t>r</w:t>
      </w:r>
      <w:r w:rsidRPr="00787A74">
        <w:rPr>
          <w:b/>
          <w:sz w:val="20"/>
        </w:rPr>
        <w:t>esidue</w:t>
      </w:r>
      <w:r>
        <w:rPr>
          <w:b/>
          <w:sz w:val="20"/>
        </w:rPr>
        <w:t xml:space="preserve"> limit</w:t>
      </w:r>
      <w:r w:rsidRPr="00787A74">
        <w:rPr>
          <w:b/>
          <w:sz w:val="20"/>
        </w:rPr>
        <w:t xml:space="preserve"> </w:t>
      </w:r>
      <w:r>
        <w:rPr>
          <w:b/>
          <w:sz w:val="20"/>
        </w:rPr>
        <w:t>for Imazapyr in barley</w:t>
      </w:r>
      <w:r w:rsidRPr="00787A74">
        <w:rPr>
          <w:b/>
          <w:sz w:val="20"/>
        </w:rPr>
        <w:t>) Variation</w:t>
      </w:r>
    </w:p>
    <w:p w:rsidR="00B360F0" w:rsidRPr="00C0014E" w:rsidRDefault="00B360F0" w:rsidP="00B360F0">
      <w:pPr>
        <w:pBdr>
          <w:bottom w:val="single" w:sz="4" w:space="1" w:color="auto"/>
        </w:pBdr>
        <w:rPr>
          <w:b/>
          <w:sz w:val="20"/>
        </w:rPr>
      </w:pPr>
    </w:p>
    <w:p w:rsidR="00B360F0" w:rsidRPr="008F2616" w:rsidRDefault="00B360F0" w:rsidP="00B360F0">
      <w:pPr>
        <w:rPr>
          <w:sz w:val="20"/>
        </w:rPr>
      </w:pPr>
    </w:p>
    <w:p w:rsidR="00B360F0" w:rsidRPr="008F2616" w:rsidRDefault="00B360F0" w:rsidP="00B360F0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:rsidR="00B360F0" w:rsidRPr="008F2616" w:rsidRDefault="00B360F0" w:rsidP="00B360F0">
      <w:pPr>
        <w:rPr>
          <w:sz w:val="20"/>
        </w:rPr>
      </w:pPr>
    </w:p>
    <w:p w:rsidR="00B360F0" w:rsidRDefault="00B360F0" w:rsidP="00B360F0">
      <w:pPr>
        <w:rPr>
          <w:sz w:val="20"/>
        </w:rPr>
      </w:pPr>
      <w:r w:rsidRPr="008F2616">
        <w:rPr>
          <w:sz w:val="20"/>
        </w:rPr>
        <w:t xml:space="preserve">Dated </w:t>
      </w:r>
      <w:r>
        <w:rPr>
          <w:sz w:val="20"/>
        </w:rPr>
        <w:t>20 February 2020</w:t>
      </w:r>
    </w:p>
    <w:p w:rsidR="00B360F0" w:rsidRPr="008F2616" w:rsidRDefault="00B360F0" w:rsidP="00B360F0">
      <w:pPr>
        <w:rPr>
          <w:sz w:val="20"/>
        </w:rPr>
      </w:pPr>
    </w:p>
    <w:p w:rsidR="00B360F0" w:rsidRPr="008F2616" w:rsidRDefault="00B360F0" w:rsidP="00B360F0">
      <w:pPr>
        <w:rPr>
          <w:sz w:val="20"/>
        </w:rPr>
      </w:pPr>
      <w:r>
        <w:rPr>
          <w:noProof/>
          <w:lang w:eastAsia="en-GB"/>
        </w:rPr>
        <w:drawing>
          <wp:inline distT="0" distB="0" distL="0" distR="0" wp14:anchorId="67F4FC98" wp14:editId="3C8B366D">
            <wp:extent cx="723955" cy="1422925"/>
            <wp:effectExtent l="0" t="6350" r="0" b="0"/>
            <wp:docPr id="7" name="Picture 7" descr="C:\Users\coughc\AppData\Local\Microsoft\Windows\INetCache\Content.Word\Es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ughc\AppData\Local\Microsoft\Windows\INetCache\Content.Word\Esi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471" cy="151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0F0" w:rsidRDefault="00B360F0" w:rsidP="00B360F0">
      <w:pPr>
        <w:rPr>
          <w:sz w:val="20"/>
        </w:rPr>
      </w:pPr>
    </w:p>
    <w:p w:rsidR="00B360F0" w:rsidRPr="008F2616" w:rsidRDefault="00B360F0" w:rsidP="00B360F0">
      <w:pPr>
        <w:rPr>
          <w:sz w:val="20"/>
        </w:rPr>
      </w:pPr>
    </w:p>
    <w:p w:rsidR="00B360F0" w:rsidRPr="008F2616" w:rsidRDefault="00B360F0" w:rsidP="00B360F0">
      <w:pPr>
        <w:rPr>
          <w:sz w:val="20"/>
        </w:rPr>
      </w:pPr>
      <w:r>
        <w:rPr>
          <w:sz w:val="20"/>
        </w:rPr>
        <w:t>Standards Management Officer</w:t>
      </w:r>
    </w:p>
    <w:p w:rsidR="00B360F0" w:rsidRPr="008F2616" w:rsidRDefault="00B360F0" w:rsidP="00B360F0">
      <w:pPr>
        <w:rPr>
          <w:sz w:val="20"/>
        </w:rPr>
      </w:pPr>
      <w:r w:rsidRPr="008F2616">
        <w:rPr>
          <w:sz w:val="20"/>
        </w:rPr>
        <w:t>Delegate of the Board of Food Standards Australia New Zealand</w:t>
      </w:r>
    </w:p>
    <w:p w:rsidR="00B360F0" w:rsidRPr="006922C6" w:rsidRDefault="00B360F0" w:rsidP="00B360F0">
      <w:pPr>
        <w:rPr>
          <w:sz w:val="18"/>
        </w:rPr>
      </w:pPr>
    </w:p>
    <w:p w:rsidR="00B360F0" w:rsidRPr="006922C6" w:rsidRDefault="00B360F0" w:rsidP="00B360F0">
      <w:pPr>
        <w:rPr>
          <w:sz w:val="18"/>
        </w:rPr>
      </w:pPr>
    </w:p>
    <w:p w:rsidR="00B360F0" w:rsidRPr="006922C6" w:rsidRDefault="00B360F0" w:rsidP="00B360F0">
      <w:pPr>
        <w:rPr>
          <w:sz w:val="18"/>
        </w:rPr>
      </w:pPr>
    </w:p>
    <w:p w:rsidR="00B360F0" w:rsidRPr="006922C6" w:rsidRDefault="00B360F0" w:rsidP="00B360F0">
      <w:pPr>
        <w:rPr>
          <w:sz w:val="18"/>
        </w:rPr>
      </w:pPr>
    </w:p>
    <w:p w:rsidR="00B360F0" w:rsidRPr="006922C6" w:rsidRDefault="00B360F0" w:rsidP="00B360F0">
      <w:pPr>
        <w:rPr>
          <w:sz w:val="18"/>
        </w:rPr>
      </w:pPr>
    </w:p>
    <w:p w:rsidR="00B360F0" w:rsidRPr="006922C6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6922C6">
        <w:rPr>
          <w:b/>
          <w:sz w:val="20"/>
          <w:lang w:val="en-AU"/>
        </w:rPr>
        <w:t xml:space="preserve">Note:  </w:t>
      </w:r>
    </w:p>
    <w:p w:rsidR="00B360F0" w:rsidRPr="006922C6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:rsidR="00B360F0" w:rsidRPr="006922C6" w:rsidRDefault="00B360F0" w:rsidP="00B36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6922C6">
        <w:rPr>
          <w:sz w:val="20"/>
          <w:lang w:val="en-AU"/>
        </w:rPr>
        <w:t xml:space="preserve">This variation will be published in the Commonwealth of Australia Gazette No. FSC </w:t>
      </w:r>
      <w:r w:rsidRPr="008C0E2F">
        <w:rPr>
          <w:sz w:val="20"/>
          <w:lang w:val="en-AU"/>
        </w:rPr>
        <w:t>132 on 26 February 2020. This means that this date is the gazettal date for the purposes of cla</w:t>
      </w:r>
      <w:r w:rsidRPr="006922C6">
        <w:rPr>
          <w:sz w:val="20"/>
          <w:lang w:val="en-AU"/>
        </w:rPr>
        <w:t xml:space="preserve">use 3 of the variation. </w:t>
      </w:r>
    </w:p>
    <w:p w:rsidR="00B360F0" w:rsidRDefault="00B360F0" w:rsidP="00B360F0"/>
    <w:p w:rsidR="00B360F0" w:rsidRDefault="00B360F0" w:rsidP="00B360F0">
      <w:r>
        <w:br w:type="page"/>
      </w:r>
    </w:p>
    <w:p w:rsidR="00B360F0" w:rsidRPr="00D433B1" w:rsidRDefault="00B360F0" w:rsidP="00B360F0">
      <w:pPr>
        <w:pStyle w:val="FSCDraftingitemheading"/>
      </w:pPr>
      <w:r w:rsidRPr="00D433B1">
        <w:t>1</w:t>
      </w:r>
      <w:r w:rsidRPr="00D433B1">
        <w:tab/>
        <w:t>Name</w:t>
      </w:r>
    </w:p>
    <w:p w:rsidR="00B360F0" w:rsidRPr="008C072F" w:rsidRDefault="00B360F0" w:rsidP="00B360F0">
      <w:pPr>
        <w:pStyle w:val="FSCDraftingitem"/>
      </w:pPr>
      <w:r w:rsidRPr="00DB170D">
        <w:t xml:space="preserve">This instrument is the </w:t>
      </w:r>
      <w:r w:rsidRPr="003E0750">
        <w:rPr>
          <w:i/>
        </w:rPr>
        <w:t xml:space="preserve">Food </w:t>
      </w:r>
      <w:r w:rsidRPr="00787A74">
        <w:rPr>
          <w:i/>
        </w:rPr>
        <w:t>Standards (</w:t>
      </w:r>
      <w:r>
        <w:rPr>
          <w:i/>
        </w:rPr>
        <w:t xml:space="preserve">Application A1181 </w:t>
      </w:r>
      <w:r w:rsidRPr="00787A74">
        <w:rPr>
          <w:i/>
        </w:rPr>
        <w:t xml:space="preserve">– Maximum </w:t>
      </w:r>
      <w:r>
        <w:rPr>
          <w:i/>
        </w:rPr>
        <w:t>r</w:t>
      </w:r>
      <w:r w:rsidRPr="00787A74">
        <w:rPr>
          <w:i/>
        </w:rPr>
        <w:t xml:space="preserve">esidue </w:t>
      </w:r>
      <w:r>
        <w:rPr>
          <w:i/>
        </w:rPr>
        <w:t>l</w:t>
      </w:r>
      <w:r w:rsidRPr="00787A74">
        <w:rPr>
          <w:i/>
        </w:rPr>
        <w:t>imit</w:t>
      </w:r>
      <w:r>
        <w:rPr>
          <w:i/>
        </w:rPr>
        <w:t xml:space="preserve"> </w:t>
      </w:r>
      <w:r w:rsidRPr="008C072F">
        <w:rPr>
          <w:i/>
        </w:rPr>
        <w:t>for Imazapyr in Barley</w:t>
      </w:r>
      <w:r w:rsidRPr="008C072F">
        <w:t>) Variation.</w:t>
      </w:r>
    </w:p>
    <w:p w:rsidR="00B360F0" w:rsidRPr="00D433B1" w:rsidRDefault="00B360F0" w:rsidP="00B360F0">
      <w:pPr>
        <w:pStyle w:val="FSCDraftingitemheading"/>
      </w:pPr>
      <w:r w:rsidRPr="00D433B1">
        <w:t>2</w:t>
      </w:r>
      <w:r w:rsidRPr="00D433B1">
        <w:tab/>
        <w:t xml:space="preserve">Variation to a </w:t>
      </w:r>
      <w:r>
        <w:t>s</w:t>
      </w:r>
      <w:r w:rsidRPr="00D433B1">
        <w:t xml:space="preserve">tandard in the </w:t>
      </w:r>
      <w:r w:rsidRPr="002F7B6B">
        <w:rPr>
          <w:i/>
        </w:rPr>
        <w:t>Australia New Zealand Food Standards Code</w:t>
      </w:r>
    </w:p>
    <w:p w:rsidR="00B360F0" w:rsidRDefault="00B360F0" w:rsidP="00B360F0">
      <w:pPr>
        <w:pStyle w:val="FSCDraftingitem"/>
      </w:pPr>
      <w:r>
        <w:t xml:space="preserve">The Schedule varies a Standard in the </w:t>
      </w:r>
      <w:r w:rsidRPr="00AC577E">
        <w:t>Australia New Zealand Food Standards Code</w:t>
      </w:r>
      <w:r>
        <w:t>.</w:t>
      </w:r>
    </w:p>
    <w:p w:rsidR="00B360F0" w:rsidRPr="00D433B1" w:rsidRDefault="00B360F0" w:rsidP="00B360F0">
      <w:pPr>
        <w:pStyle w:val="FSCDraftingitemheading"/>
      </w:pPr>
      <w:r w:rsidRPr="00D433B1">
        <w:t>3</w:t>
      </w:r>
      <w:r w:rsidRPr="00D433B1">
        <w:tab/>
        <w:t>Commencement</w:t>
      </w:r>
    </w:p>
    <w:p w:rsidR="00B360F0" w:rsidRDefault="00B360F0" w:rsidP="00B360F0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:rsidR="00B360F0" w:rsidRPr="00D433B1" w:rsidRDefault="00B360F0" w:rsidP="00B360F0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:rsidR="00B360F0" w:rsidRDefault="00B360F0" w:rsidP="00B360F0">
      <w:pPr>
        <w:spacing w:before="120" w:after="120"/>
        <w:rPr>
          <w:sz w:val="20"/>
          <w:highlight w:val="yellow"/>
          <w:lang w:eastAsia="en-AU"/>
        </w:rPr>
      </w:pPr>
      <w:r w:rsidRPr="00E35753">
        <w:rPr>
          <w:b/>
        </w:rPr>
        <w:t>[1]</w:t>
      </w:r>
      <w:r>
        <w:rPr>
          <w:b/>
          <w:sz w:val="20"/>
        </w:rPr>
        <w:tab/>
        <w:t xml:space="preserve">Schedule 20 </w:t>
      </w:r>
      <w:r w:rsidRPr="00010BA6">
        <w:rPr>
          <w:sz w:val="20"/>
        </w:rPr>
        <w:t>is varied by</w:t>
      </w:r>
      <w:r>
        <w:rPr>
          <w:sz w:val="20"/>
        </w:rPr>
        <w:t xml:space="preserve"> omitting for the following chemical in the table to subsection S20—3, the maximum residue limit for the food and substituting </w:t>
      </w:r>
    </w:p>
    <w:tbl>
      <w:tblPr>
        <w:tblStyle w:val="TableGrid123"/>
        <w:tblW w:w="442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020"/>
      </w:tblGrid>
      <w:tr w:rsidR="00B360F0" w:rsidRPr="00896754" w:rsidTr="00F559A5">
        <w:trPr>
          <w:cantSplit/>
        </w:trPr>
        <w:tc>
          <w:tcPr>
            <w:tcW w:w="4422" w:type="dxa"/>
            <w:gridSpan w:val="2"/>
            <w:tcBorders>
              <w:top w:val="single" w:sz="4" w:space="0" w:color="auto"/>
            </w:tcBorders>
          </w:tcPr>
          <w:p w:rsidR="00B360F0" w:rsidRPr="00896754" w:rsidRDefault="00B360F0" w:rsidP="00F559A5">
            <w:pPr>
              <w:pStyle w:val="FSCtblh3"/>
            </w:pPr>
            <w:r w:rsidRPr="00896754">
              <w:t>Agvet chemical:  Imazapyr</w:t>
            </w:r>
          </w:p>
        </w:tc>
      </w:tr>
      <w:tr w:rsidR="00B360F0" w:rsidRPr="00896754" w:rsidTr="00F559A5">
        <w:trPr>
          <w:cantSplit/>
        </w:trPr>
        <w:tc>
          <w:tcPr>
            <w:tcW w:w="4422" w:type="dxa"/>
            <w:gridSpan w:val="2"/>
            <w:tcBorders>
              <w:bottom w:val="single" w:sz="4" w:space="0" w:color="auto"/>
            </w:tcBorders>
          </w:tcPr>
          <w:p w:rsidR="00B360F0" w:rsidRPr="00896754" w:rsidRDefault="00B360F0" w:rsidP="00F559A5">
            <w:pPr>
              <w:pStyle w:val="FSCtblh4"/>
            </w:pPr>
            <w:r w:rsidRPr="00896754">
              <w:t>Permitted residue:  Imazapyr</w:t>
            </w:r>
          </w:p>
        </w:tc>
      </w:tr>
      <w:tr w:rsidR="00B360F0" w:rsidRPr="00896754" w:rsidTr="00F559A5">
        <w:trPr>
          <w:cantSplit/>
        </w:trPr>
        <w:tc>
          <w:tcPr>
            <w:tcW w:w="3402" w:type="dxa"/>
            <w:tcBorders>
              <w:top w:val="single" w:sz="4" w:space="0" w:color="auto"/>
            </w:tcBorders>
          </w:tcPr>
          <w:p w:rsidR="00B360F0" w:rsidRPr="00896754" w:rsidRDefault="00B360F0" w:rsidP="00F559A5">
            <w:pPr>
              <w:pStyle w:val="FSCtblMRL1"/>
            </w:pPr>
            <w:r w:rsidRPr="00896754">
              <w:t>Barley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360F0" w:rsidRPr="00896754" w:rsidRDefault="00B360F0" w:rsidP="00F559A5">
            <w:pPr>
              <w:pStyle w:val="FSCtblMRL2"/>
            </w:pPr>
            <w:r>
              <w:t>0.7</w:t>
            </w:r>
          </w:p>
        </w:tc>
      </w:tr>
    </w:tbl>
    <w:p w:rsidR="00B360F0" w:rsidRPr="003A01FB" w:rsidRDefault="00B360F0" w:rsidP="00B360F0"/>
    <w:p w:rsidR="00B360F0" w:rsidRPr="003A01FB" w:rsidRDefault="00B360F0" w:rsidP="00B360F0"/>
    <w:p w:rsidR="00B360F0" w:rsidRPr="006153A1" w:rsidRDefault="00B360F0" w:rsidP="00B360F0">
      <w:pPr>
        <w:rPr>
          <w:b/>
          <w:bCs/>
        </w:rPr>
      </w:pPr>
    </w:p>
    <w:p w:rsidR="00D5526B" w:rsidRPr="003A01FB" w:rsidRDefault="00D5526B" w:rsidP="003A01FB"/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59" w:rsidRDefault="00BE0E59" w:rsidP="00B360F0">
      <w:r>
        <w:separator/>
      </w:r>
    </w:p>
  </w:endnote>
  <w:endnote w:type="continuationSeparator" w:id="0">
    <w:p w:rsidR="00BE0E59" w:rsidRDefault="00BE0E59" w:rsidP="00B3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59" w:rsidRDefault="00BE0E59" w:rsidP="00B360F0">
      <w:r>
        <w:separator/>
      </w:r>
    </w:p>
  </w:footnote>
  <w:footnote w:type="continuationSeparator" w:id="0">
    <w:p w:rsidR="00BE0E59" w:rsidRDefault="00BE0E59" w:rsidP="00B3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3FA0"/>
    <w:multiLevelType w:val="hybridMultilevel"/>
    <w:tmpl w:val="2C7E6A0E"/>
    <w:lvl w:ilvl="0" w:tplc="5BC4D502">
      <w:start w:val="3"/>
      <w:numFmt w:val="lowerLetter"/>
      <w:lvlText w:val="(%1)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2E08"/>
    <w:multiLevelType w:val="hybridMultilevel"/>
    <w:tmpl w:val="797C0B88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A7FCD"/>
    <w:multiLevelType w:val="hybridMultilevel"/>
    <w:tmpl w:val="797C0B88"/>
    <w:lvl w:ilvl="0" w:tplc="2416BA16">
      <w:start w:val="1"/>
      <w:numFmt w:val="lowerRoman"/>
      <w:lvlText w:val="(%1)"/>
      <w:lvlJc w:val="left"/>
      <w:pPr>
        <w:ind w:left="29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4030EC9"/>
    <w:multiLevelType w:val="hybridMultilevel"/>
    <w:tmpl w:val="F4D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7"/>
  </w:num>
  <w:num w:numId="12">
    <w:abstractNumId w:val="2"/>
  </w:num>
  <w:num w:numId="13">
    <w:abstractNumId w:val="4"/>
  </w:num>
  <w:num w:numId="14">
    <w:abstractNumId w:val="6"/>
  </w:num>
  <w:num w:numId="15">
    <w:abstractNumId w:val="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F0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360F0"/>
    <w:rsid w:val="00B53154"/>
    <w:rsid w:val="00B72074"/>
    <w:rsid w:val="00BC2133"/>
    <w:rsid w:val="00BE0E59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67702B-B8E9-4EDF-AC80-57B1E8B8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B360F0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CDraftingitem">
    <w:name w:val="FSC_Drafting_item"/>
    <w:basedOn w:val="Normal"/>
    <w:qFormat/>
    <w:rsid w:val="00B360F0"/>
    <w:pPr>
      <w:tabs>
        <w:tab w:val="left" w:pos="851"/>
      </w:tabs>
      <w:spacing w:before="120" w:after="120"/>
    </w:pPr>
    <w:rPr>
      <w:rFonts w:eastAsia="Times New Roman" w:cs="Times New Roman"/>
      <w:sz w:val="20"/>
      <w:szCs w:val="20"/>
    </w:rPr>
  </w:style>
  <w:style w:type="paragraph" w:customStyle="1" w:styleId="FSCDraftingitemheading">
    <w:name w:val="FSC_Drafting_item_heading"/>
    <w:basedOn w:val="Normal"/>
    <w:qFormat/>
    <w:rsid w:val="00B360F0"/>
    <w:pPr>
      <w:widowControl w:val="0"/>
      <w:spacing w:before="120" w:after="120"/>
      <w:ind w:left="851" w:hanging="851"/>
    </w:pPr>
    <w:rPr>
      <w:rFonts w:eastAsia="Times New Roman" w:cs="Times New Roman"/>
      <w:b/>
      <w:sz w:val="20"/>
      <w:szCs w:val="20"/>
    </w:rPr>
  </w:style>
  <w:style w:type="paragraph" w:customStyle="1" w:styleId="FSCtblMain">
    <w:name w:val="FSC_tbl_Main"/>
    <w:basedOn w:val="Normal"/>
    <w:rsid w:val="00B360F0"/>
    <w:pPr>
      <w:keepLines/>
      <w:tabs>
        <w:tab w:val="right" w:pos="3969"/>
      </w:tabs>
      <w:spacing w:before="60" w:after="60"/>
    </w:pPr>
    <w:rPr>
      <w:rFonts w:eastAsia="Times New Roman" w:cs="Arial"/>
      <w:sz w:val="18"/>
      <w:szCs w:val="20"/>
      <w:lang w:eastAsia="en-AU"/>
    </w:rPr>
  </w:style>
  <w:style w:type="table" w:customStyle="1" w:styleId="PlainTable21">
    <w:name w:val="Plain Table 21"/>
    <w:basedOn w:val="TableNormal"/>
    <w:uiPriority w:val="42"/>
    <w:rsid w:val="00B360F0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1">
    <w:name w:val="Table Grid21"/>
    <w:basedOn w:val="TableNormal"/>
    <w:next w:val="TableGrid"/>
    <w:rsid w:val="00B360F0"/>
    <w:rPr>
      <w:rFonts w:ascii="Times" w:eastAsia="Times New Roman" w:hAnsi="Times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SCtblh3">
    <w:name w:val="FSC_tbl_h3"/>
    <w:basedOn w:val="Normal"/>
    <w:next w:val="Normal"/>
    <w:qFormat/>
    <w:rsid w:val="00B360F0"/>
    <w:pPr>
      <w:keepNext/>
      <w:keepLines/>
      <w:spacing w:before="60" w:after="60"/>
    </w:pPr>
    <w:rPr>
      <w:rFonts w:eastAsia="Times New Roman" w:cs="Arial"/>
      <w:b/>
      <w:i/>
      <w:sz w:val="18"/>
      <w:lang w:eastAsia="en-AU"/>
    </w:rPr>
  </w:style>
  <w:style w:type="paragraph" w:customStyle="1" w:styleId="FSCtblh4">
    <w:name w:val="FSC_tbl_h4"/>
    <w:basedOn w:val="Normal"/>
    <w:next w:val="Normal"/>
    <w:qFormat/>
    <w:rsid w:val="00B360F0"/>
    <w:pPr>
      <w:keepNext/>
      <w:keepLines/>
      <w:spacing w:before="60" w:after="60"/>
    </w:pPr>
    <w:rPr>
      <w:rFonts w:eastAsia="Times New Roman" w:cs="Arial"/>
      <w:i/>
      <w:sz w:val="18"/>
      <w:lang w:eastAsia="en-AU"/>
    </w:rPr>
  </w:style>
  <w:style w:type="paragraph" w:customStyle="1" w:styleId="FSCtblMRL1">
    <w:name w:val="FSC_tbl_MRL1"/>
    <w:basedOn w:val="Normal"/>
    <w:rsid w:val="00B360F0"/>
    <w:pPr>
      <w:keepLines/>
      <w:spacing w:before="20" w:after="20"/>
    </w:pPr>
    <w:rPr>
      <w:rFonts w:eastAsia="Times New Roman" w:cs="Arial"/>
      <w:sz w:val="18"/>
      <w:szCs w:val="20"/>
      <w:lang w:eastAsia="en-AU"/>
    </w:rPr>
  </w:style>
  <w:style w:type="paragraph" w:customStyle="1" w:styleId="FSCtblMRL2">
    <w:name w:val="FSC_tbl_MRL2"/>
    <w:basedOn w:val="FSCtblMRL1"/>
    <w:qFormat/>
    <w:rsid w:val="00B360F0"/>
    <w:pPr>
      <w:jc w:val="right"/>
    </w:pPr>
    <w:rPr>
      <w:rFonts w:eastAsiaTheme="minorHAnsi"/>
      <w:lang w:eastAsia="en-US"/>
    </w:rPr>
  </w:style>
  <w:style w:type="table" w:customStyle="1" w:styleId="TableGrid123">
    <w:name w:val="Table Grid123"/>
    <w:basedOn w:val="TableNormal"/>
    <w:uiPriority w:val="59"/>
    <w:rsid w:val="00B360F0"/>
    <w:rPr>
      <w:rFonts w:eastAsia="Times New Roman" w:cs="Times New Roman"/>
      <w:sz w:val="20"/>
      <w:szCs w:val="20"/>
      <w:lang w:eastAsia="en-A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B36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B36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nformation@foodstandards.gov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C99619-8B9E-4E39-A571-270E6214655A}"/>
</file>

<file path=customXml/itemProps2.xml><?xml version="1.0" encoding="utf-8"?>
<ds:datastoreItem xmlns:ds="http://schemas.openxmlformats.org/officeDocument/2006/customXml" ds:itemID="{2782F594-DF47-435D-BC40-B94866EB8A80}"/>
</file>

<file path=customXml/itemProps3.xml><?xml version="1.0" encoding="utf-8"?>
<ds:datastoreItem xmlns:ds="http://schemas.openxmlformats.org/officeDocument/2006/customXml" ds:itemID="{296D0E36-C2A9-4305-B1B6-0007814C5043}"/>
</file>

<file path=customXml/itemProps4.xml><?xml version="1.0" encoding="utf-8"?>
<ds:datastoreItem xmlns:ds="http://schemas.openxmlformats.org/officeDocument/2006/customXml" ds:itemID="{4FCE641C-D0A8-42B6-886F-4638D39182FB}"/>
</file>

<file path=customXml/itemProps5.xml><?xml version="1.0" encoding="utf-8"?>
<ds:datastoreItem xmlns:ds="http://schemas.openxmlformats.org/officeDocument/2006/customXml" ds:itemID="{0C9107D0-369B-44BC-96B4-F67DC66D8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1</cp:revision>
  <dcterms:created xsi:type="dcterms:W3CDTF">2020-02-25T20:41:00Z</dcterms:created>
  <dcterms:modified xsi:type="dcterms:W3CDTF">2020-02-25T20:42:00Z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4da1bc2b-d0d1-4ff1-a170-6dbe7c72d3a6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0x0101001900262E4D4C454882FD5FB486F98AD4</vt:lpwstr>
  </property>
</Properties>
</file>